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582"/>
        <w:tblW w:w="13887" w:type="dxa"/>
        <w:tblLayout w:type="fixed"/>
        <w:tblLook w:val="06A0" w:firstRow="1" w:lastRow="0" w:firstColumn="1" w:lastColumn="0" w:noHBand="1" w:noVBand="1"/>
      </w:tblPr>
      <w:tblGrid>
        <w:gridCol w:w="2755"/>
        <w:gridCol w:w="9289"/>
        <w:gridCol w:w="1843"/>
      </w:tblGrid>
      <w:tr w:rsidR="00962291" w:rsidRPr="00A87236" w14:paraId="1DA3BA97" w14:textId="77777777" w:rsidTr="00962291">
        <w:trPr>
          <w:trHeight w:val="300"/>
        </w:trPr>
        <w:tc>
          <w:tcPr>
            <w:tcW w:w="13887" w:type="dxa"/>
            <w:gridSpan w:val="3"/>
          </w:tcPr>
          <w:p w14:paraId="3E60AB98" w14:textId="7B61E91E" w:rsidR="00962291" w:rsidRPr="00A87236" w:rsidRDefault="00096BE6" w:rsidP="00962291">
            <w:pPr>
              <w:pStyle w:val="Heading2"/>
              <w:jc w:val="center"/>
              <w:outlineLvl w:val="1"/>
              <w:rPr>
                <w:sz w:val="24"/>
                <w:szCs w:val="24"/>
              </w:rPr>
            </w:pPr>
            <w:r w:rsidRPr="00A87236">
              <w:rPr>
                <w:sz w:val="24"/>
                <w:szCs w:val="24"/>
              </w:rPr>
              <w:t>WWN Preparación de la reunión en línea previa a la COP Abril 2025</w:t>
            </w:r>
          </w:p>
        </w:tc>
      </w:tr>
      <w:tr w:rsidR="00096BE6" w:rsidRPr="00A87236" w14:paraId="60B4F387" w14:textId="421D2B7A" w:rsidTr="00962291">
        <w:trPr>
          <w:trHeight w:val="300"/>
        </w:trPr>
        <w:tc>
          <w:tcPr>
            <w:tcW w:w="2755" w:type="dxa"/>
          </w:tcPr>
          <w:p w14:paraId="1055D7BA" w14:textId="5CB29DF0" w:rsidR="00096BE6" w:rsidRPr="00A87236" w:rsidRDefault="00096BE6" w:rsidP="00096BE6">
            <w:pPr>
              <w:rPr>
                <w:rFonts w:eastAsia="Aptos" w:cs="Aptos"/>
                <w:b/>
                <w:bCs/>
              </w:rPr>
            </w:pPr>
            <w:r w:rsidRPr="00A87236">
              <w:rPr>
                <w:b/>
              </w:rPr>
              <w:t xml:space="preserve">Tema </w:t>
            </w:r>
          </w:p>
        </w:tc>
        <w:tc>
          <w:tcPr>
            <w:tcW w:w="9289" w:type="dxa"/>
          </w:tcPr>
          <w:p w14:paraId="11D65D07" w14:textId="6D125A8F" w:rsidR="00096BE6" w:rsidRPr="00A87236" w:rsidRDefault="00096BE6" w:rsidP="00096BE6">
            <w:pPr>
              <w:rPr>
                <w:rFonts w:eastAsia="Aptos" w:cs="Aptos"/>
                <w:b/>
                <w:bCs/>
              </w:rPr>
            </w:pPr>
            <w:r w:rsidRPr="00A87236">
              <w:rPr>
                <w:b/>
              </w:rPr>
              <w:t>Notas y extractos</w:t>
            </w:r>
          </w:p>
        </w:tc>
        <w:tc>
          <w:tcPr>
            <w:tcW w:w="1843" w:type="dxa"/>
          </w:tcPr>
          <w:p w14:paraId="5FEFC2F8" w14:textId="1B401BD2" w:rsidR="00096BE6" w:rsidRPr="00A87236" w:rsidRDefault="00096BE6" w:rsidP="00096BE6">
            <w:pPr>
              <w:rPr>
                <w:rFonts w:eastAsia="Aptos" w:cs="Aptos"/>
                <w:b/>
                <w:bCs/>
              </w:rPr>
            </w:pPr>
            <w:r w:rsidRPr="00A87236">
              <w:rPr>
                <w:rFonts w:eastAsia="Aptos" w:cs="Aptos"/>
                <w:b/>
                <w:bCs/>
              </w:rPr>
              <w:t>WWN Pre-COP proyecto prioritario</w:t>
            </w:r>
          </w:p>
        </w:tc>
      </w:tr>
      <w:tr w:rsidR="004E211D" w:rsidRPr="00A87236" w14:paraId="51BE745B" w14:textId="77777777" w:rsidTr="00962291">
        <w:trPr>
          <w:trHeight w:val="300"/>
        </w:trPr>
        <w:tc>
          <w:tcPr>
            <w:tcW w:w="2755" w:type="dxa"/>
          </w:tcPr>
          <w:p w14:paraId="687253BC" w14:textId="495B42E4" w:rsidR="004E211D" w:rsidRPr="00A87236" w:rsidRDefault="004E211D" w:rsidP="00962291">
            <w:r w:rsidRPr="00A87236">
              <w:rPr>
                <w:b/>
              </w:rPr>
              <w:t>Freshwater restoration</w:t>
            </w:r>
          </w:p>
          <w:p w14:paraId="251D19C5" w14:textId="435BA654" w:rsidR="004E211D" w:rsidRPr="00A87236" w:rsidRDefault="004E211D" w:rsidP="00962291"/>
          <w:p w14:paraId="2E08BB5C" w14:textId="2274B6F0" w:rsidR="004E211D" w:rsidRPr="00A87236" w:rsidRDefault="004E211D" w:rsidP="00096BE6">
            <w:pPr>
              <w:ind w:left="720" w:hanging="720"/>
            </w:pPr>
            <w:r w:rsidRPr="00A87236">
              <w:t>COP15 Doc.23.15</w:t>
            </w:r>
          </w:p>
          <w:p w14:paraId="0D86986E" w14:textId="77777777" w:rsidR="009F53EF" w:rsidRPr="00A87236" w:rsidRDefault="004E211D" w:rsidP="00962291">
            <w:r w:rsidRPr="00A87236">
              <w:t>SC64 Doc.29.2 Rev.1</w:t>
            </w:r>
          </w:p>
          <w:p w14:paraId="1282A12A" w14:textId="77777777" w:rsidR="009F53EF" w:rsidRPr="00A87236" w:rsidRDefault="004E211D" w:rsidP="00962291">
            <w:r w:rsidRPr="00A87236">
              <w:cr/>
            </w:r>
          </w:p>
          <w:p w14:paraId="360BA6C7" w14:textId="580756C7" w:rsidR="004E211D" w:rsidRPr="00A87236" w:rsidRDefault="009F53EF" w:rsidP="00962291">
            <w:r w:rsidRPr="00A87236">
              <w:t>Proyecto de resolución sobre la restauración de los ecosistemas de agua dulce degradados para apoyar la biodiversidad de las características ecológicas y los servicios de los ecosistemas</w:t>
            </w:r>
          </w:p>
          <w:p w14:paraId="2C98E50A" w14:textId="77777777" w:rsidR="009F53EF" w:rsidRPr="00A87236" w:rsidRDefault="009F53EF" w:rsidP="00962291"/>
          <w:p w14:paraId="7BC9DB5E" w14:textId="6B55C6BB" w:rsidR="004E211D" w:rsidRPr="00A87236" w:rsidRDefault="00B96C92" w:rsidP="009F53EF">
            <w:hyperlink r:id="rId9" w:history="1">
              <w:r w:rsidR="009F53EF" w:rsidRPr="00A87236">
                <w:rPr>
                  <w:rStyle w:val="Hyperlink"/>
                </w:rPr>
                <w:t>COP15_23_15_DR_freshwater_ecosystem_restoration_s.docx</w:t>
              </w:r>
            </w:hyperlink>
          </w:p>
        </w:tc>
        <w:tc>
          <w:tcPr>
            <w:tcW w:w="9289" w:type="dxa"/>
          </w:tcPr>
          <w:p w14:paraId="60D89367" w14:textId="3ADB4CF0" w:rsidR="004E211D" w:rsidRPr="001E5AE6" w:rsidRDefault="009F53EF" w:rsidP="00962291">
            <w:pPr>
              <w:rPr>
                <w:i/>
              </w:rPr>
            </w:pPr>
            <w:r w:rsidRPr="001E5AE6">
              <w:t xml:space="preserve">Consolida otros DR del agua; apoya los DR de la OMEC </w:t>
            </w:r>
            <w:r w:rsidRPr="001E5AE6">
              <w:br/>
            </w:r>
            <w:r w:rsidR="00F80983" w:rsidRPr="001E5AE6">
              <w:rPr>
                <w:i/>
              </w:rPr>
              <w:t>...pretende permitir una acción más enérgica en la restauración de los ecosistemas de agua dulce, como componente de la conservación de los ecosistemas, junto con la gestión y el uso sostenibles, así como la protección basada en zonas y no basada en zonas, también para ríos y lagos, y dar a conocer el Desafío del Agua Dulce como una iniciativa que puede apoyar a las Partes Contratantes en la restauración y protección de los ecosistemas de agua dulce.'</w:t>
            </w:r>
          </w:p>
          <w:p w14:paraId="428C283C" w14:textId="2B2750F2" w:rsidR="004E211D" w:rsidRPr="00A87236" w:rsidRDefault="004E211D" w:rsidP="00962291">
            <w:pPr>
              <w:rPr>
                <w:i/>
                <w:highlight w:val="yellow"/>
              </w:rPr>
            </w:pPr>
          </w:p>
          <w:p w14:paraId="01A2F6C6" w14:textId="63E1C0B3" w:rsidR="004E211D" w:rsidRPr="00A87236" w:rsidRDefault="004E211D" w:rsidP="00962291">
            <w:pPr>
              <w:rPr>
                <w:i/>
                <w:highlight w:val="yellow"/>
              </w:rPr>
            </w:pPr>
          </w:p>
          <w:p w14:paraId="34BFAD3C" w14:textId="77777777" w:rsidR="004E211D" w:rsidRDefault="009F53EF" w:rsidP="001E5AE6">
            <w:pPr>
              <w:rPr>
                <w:highlight w:val="yellow"/>
              </w:rPr>
            </w:pPr>
            <w:r w:rsidRPr="001E5AE6">
              <w:rPr>
                <w:b/>
              </w:rPr>
              <w:t>Importancia de la WWN</w:t>
            </w:r>
            <w:r w:rsidR="004E211D" w:rsidRPr="001E5AE6">
              <w:t xml:space="preserve">: </w:t>
            </w:r>
          </w:p>
          <w:p w14:paraId="7D3C3452" w14:textId="195AAF11" w:rsidR="001E5AE6" w:rsidRDefault="001E5AE6" w:rsidP="001E5AE6">
            <w:pPr>
              <w:rPr>
                <w:i/>
              </w:rPr>
            </w:pPr>
            <w:r w:rsidRPr="001E5AE6">
              <w:rPr>
                <w:i/>
              </w:rPr>
              <w:t>3. RECONOCIENDO que la restauración de ecosistemas de agua dulce como ríos, lagos y otros humedales, si se complementa con otras medidas de conservación, para hacer frente a los factores que impulsan la degradación de los humedales, contribuye al cumplimiento de numerosas obligaciones o compromisos contraídos en virtud de distintos acuerdos multilaterales sobre el medio ambiente, así como de diversos Objetivos de Desarrollo Sostenible, entre ellos el Objetivo 6 de “garantizar la disponibilidad de agua y su gestión sostenible y el saneamiento para todos”, y la Meta 15.1 relativa a garantizar “la conservación,</w:t>
            </w:r>
            <w:r>
              <w:rPr>
                <w:i/>
              </w:rPr>
              <w:t xml:space="preserve"> </w:t>
            </w:r>
            <w:r w:rsidRPr="001E5AE6">
              <w:rPr>
                <w:i/>
              </w:rPr>
              <w:t>restauración y uso sostenible de los ecosistemas terrestres y continentales de agua dulce y sus servicios, en especial (...) los humedales, (…) en consonancia con las obligaciones contraídas con</w:t>
            </w:r>
            <w:r>
              <w:rPr>
                <w:i/>
              </w:rPr>
              <w:t xml:space="preserve"> </w:t>
            </w:r>
            <w:r>
              <w:t xml:space="preserve"> </w:t>
            </w:r>
            <w:r w:rsidRPr="001E5AE6">
              <w:rPr>
                <w:i/>
              </w:rPr>
              <w:t>arreglo a acuerdos internacionales”;</w:t>
            </w:r>
          </w:p>
          <w:p w14:paraId="46FAD054" w14:textId="024094C9" w:rsidR="001E5AE6" w:rsidRDefault="001E5AE6" w:rsidP="001E5AE6">
            <w:pPr>
              <w:rPr>
                <w:i/>
              </w:rPr>
            </w:pPr>
            <w:r w:rsidRPr="001E5AE6">
              <w:rPr>
                <w:i/>
              </w:rPr>
              <w:t xml:space="preserve">[16. ALIENTA a las Partes Contratantes a que [adopten] [consideren] y apliquen una restauración mejorada que incluya soluciones basadas en la naturaleza (SBN), según se define en la Resolución 5/5 de la Asamblea de las Naciones Unidas sobre el Medio Ambiente y[/o] enfoques basados en los ecosistemas que respondan a las prioridades climáticas, de biodiversidad y de desarrollo, y adopten un enfoque de paisaje y de cuencas hidrográficas, con miras a la recuperación de la conectividad </w:t>
            </w:r>
            <w:r w:rsidRPr="001E5AE6">
              <w:rPr>
                <w:i/>
              </w:rPr>
              <w:lastRenderedPageBreak/>
              <w:t>de los ecosistemas de agua dulce [como la eliminación de barreras para restaurar la fluidez de los ríos o la rehumidificación de turberas], y que unan esto</w:t>
            </w:r>
            <w:r>
              <w:t xml:space="preserve"> </w:t>
            </w:r>
            <w:r w:rsidRPr="001E5AE6">
              <w:rPr>
                <w:i/>
              </w:rPr>
              <w:t>a la planificación del uso de la tierra en torno al agua y la protección eficaz de los ecosistemas de agua dulce que son importantes para la biodiversidad y los servicios de los ecosistemas en el marco de los sistemas nacionales de áreas protegidas y de conservación, y otras medidas efectivas de conservación basada en áreas, entre ellos los Humedales de Importancia Internacional;]</w:t>
            </w:r>
          </w:p>
          <w:p w14:paraId="4C22760B" w14:textId="77777777" w:rsidR="001E5AE6" w:rsidRPr="001E5AE6" w:rsidRDefault="001E5AE6" w:rsidP="001E5AE6">
            <w:pPr>
              <w:rPr>
                <w:i/>
              </w:rPr>
            </w:pPr>
            <w:r w:rsidRPr="001E5AE6">
              <w:rPr>
                <w:i/>
              </w:rPr>
              <w:t>[22. INVITA a las Organizaciones Internacionales Asociadas a la Convención, a los organismos de las Naciones Unidas y a otras partes interesadas a que [incorporen la ampliación de las zonas y la aplicación de directrices para la restauración][sigan contribuyendo a la ampliación y adaptación de la restauración de ríos, lagos y otros ecosistemas de agua dulce a escalas nacional, subnacional, regional e internacional; y]</w:t>
            </w:r>
          </w:p>
          <w:p w14:paraId="5B26AD81" w14:textId="77777777" w:rsidR="001E5AE6" w:rsidRPr="001E5AE6" w:rsidRDefault="001E5AE6" w:rsidP="001E5AE6">
            <w:pPr>
              <w:rPr>
                <w:i/>
              </w:rPr>
            </w:pPr>
          </w:p>
          <w:p w14:paraId="70047254" w14:textId="311215AD" w:rsidR="001E5AE6" w:rsidRDefault="001E5AE6" w:rsidP="001E5AE6">
            <w:pPr>
              <w:rPr>
                <w:i/>
              </w:rPr>
            </w:pPr>
            <w:r w:rsidRPr="001E5AE6">
              <w:rPr>
                <w:i/>
              </w:rPr>
              <w:t>23. ALIENTA a las Partes Contratantes, organizaciones internacionales y nacionales, instituciones financieras y otros interesados a que atiendan la necesidad de una recaudación de fondos suficientes que diferentes fuentes aporten a fin de lograr la restauración y conservación a largo plazo de los ecosistemas de agua dulce a gran escala.</w:t>
            </w:r>
          </w:p>
          <w:p w14:paraId="09F18F8D" w14:textId="733CC41B" w:rsidR="001E5AE6" w:rsidRPr="00A87236" w:rsidRDefault="001E5AE6" w:rsidP="001E5AE6">
            <w:pPr>
              <w:rPr>
                <w:i/>
                <w:highlight w:val="yellow"/>
              </w:rPr>
            </w:pPr>
          </w:p>
        </w:tc>
        <w:tc>
          <w:tcPr>
            <w:tcW w:w="1843" w:type="dxa"/>
          </w:tcPr>
          <w:p w14:paraId="0E936938" w14:textId="5C9B5E65" w:rsidR="004E211D" w:rsidRPr="00A87236" w:rsidRDefault="004E211D" w:rsidP="00962291">
            <w:r w:rsidRPr="00A87236">
              <w:lastRenderedPageBreak/>
              <w:t>Medium</w:t>
            </w:r>
          </w:p>
        </w:tc>
      </w:tr>
      <w:tr w:rsidR="004E211D" w:rsidRPr="00A87236" w14:paraId="2E8A4A67" w14:textId="5B2FA73D" w:rsidTr="00962291">
        <w:trPr>
          <w:trHeight w:val="300"/>
        </w:trPr>
        <w:tc>
          <w:tcPr>
            <w:tcW w:w="2755" w:type="dxa"/>
          </w:tcPr>
          <w:p w14:paraId="559E6555" w14:textId="5B2A3D36" w:rsidR="004E211D" w:rsidRPr="00A87236" w:rsidRDefault="004E211D" w:rsidP="00962291">
            <w:pPr>
              <w:rPr>
                <w:b/>
                <w:color w:val="000000" w:themeColor="text1"/>
              </w:rPr>
            </w:pPr>
            <w:r w:rsidRPr="00A87236">
              <w:rPr>
                <w:b/>
                <w:color w:val="000000" w:themeColor="text1"/>
              </w:rPr>
              <w:t>Traditional knowledge and new technology</w:t>
            </w:r>
          </w:p>
          <w:p w14:paraId="4F5E91E8" w14:textId="77777777" w:rsidR="004E211D" w:rsidRPr="00A87236" w:rsidRDefault="004E211D" w:rsidP="00962291">
            <w:pPr>
              <w:rPr>
                <w:color w:val="000000" w:themeColor="text1"/>
              </w:rPr>
            </w:pPr>
          </w:p>
          <w:p w14:paraId="7D98E110" w14:textId="237464A4" w:rsidR="004E211D" w:rsidRPr="00A87236" w:rsidRDefault="004E211D" w:rsidP="00F7214F">
            <w:r w:rsidRPr="00A87236">
              <w:rPr>
                <w:color w:val="000000" w:themeColor="text1"/>
              </w:rPr>
              <w:t>COP15 Doc.23.17</w:t>
            </w:r>
            <w:r w:rsidRPr="00A87236">
              <w:rPr>
                <w:color w:val="000000" w:themeColor="text1"/>
              </w:rPr>
              <w:br/>
            </w:r>
            <w:r w:rsidR="00F7214F" w:rsidRPr="00A87236">
              <w:rPr>
                <w:color w:val="000000" w:themeColor="text1"/>
              </w:rPr>
              <w:t xml:space="preserve">Proyecto de resolución sobre el fomento de la incorporación de nuevas tecnologías y conocimientos tradicionales en la conservación, restauración, gestión y </w:t>
            </w:r>
            <w:r w:rsidR="00F7214F" w:rsidRPr="00A87236">
              <w:rPr>
                <w:color w:val="000000" w:themeColor="text1"/>
              </w:rPr>
              <w:lastRenderedPageBreak/>
              <w:t>uso racional de los humedales</w:t>
            </w:r>
            <w:r w:rsidR="00F7214F" w:rsidRPr="00A87236">
              <w:rPr>
                <w:color w:val="000000" w:themeColor="text1"/>
              </w:rPr>
              <w:cr/>
              <w:t xml:space="preserve"> </w:t>
            </w:r>
            <w:r w:rsidR="00F7214F" w:rsidRPr="00A87236">
              <w:t xml:space="preserve"> </w:t>
            </w:r>
            <w:hyperlink r:id="rId10" w:history="1">
              <w:r w:rsidR="00F7214F" w:rsidRPr="00A87236">
                <w:rPr>
                  <w:rStyle w:val="Hyperlink"/>
                </w:rPr>
                <w:t>COP15_23_17_DR_new_technology_s.pdf</w:t>
              </w:r>
            </w:hyperlink>
            <w:r w:rsidR="00F7214F" w:rsidRPr="00A87236">
              <w:rPr>
                <w:rStyle w:val="Hyperlink"/>
                <w:rFonts w:ascii="Aptos" w:eastAsia="Aptos" w:hAnsi="Aptos" w:cs="Aptos"/>
              </w:rPr>
              <w:t xml:space="preserve"> </w:t>
            </w:r>
          </w:p>
          <w:p w14:paraId="0F9EBD4B" w14:textId="2061F1EF" w:rsidR="004E211D" w:rsidRPr="00A87236" w:rsidRDefault="004E211D" w:rsidP="00962291">
            <w:pPr>
              <w:rPr>
                <w:rFonts w:ascii="Aptos" w:eastAsia="Aptos" w:hAnsi="Aptos" w:cs="Aptos"/>
              </w:rPr>
            </w:pPr>
          </w:p>
          <w:p w14:paraId="39E4E55D" w14:textId="4D7E89BE" w:rsidR="004E211D" w:rsidRPr="00A87236" w:rsidRDefault="004E211D" w:rsidP="00962291">
            <w:pPr>
              <w:rPr>
                <w:rFonts w:eastAsia="Aptos" w:cs="Aptos"/>
              </w:rPr>
            </w:pPr>
          </w:p>
        </w:tc>
        <w:tc>
          <w:tcPr>
            <w:tcW w:w="9289" w:type="dxa"/>
          </w:tcPr>
          <w:p w14:paraId="30ED7AB6" w14:textId="77777777" w:rsidR="00F7214F" w:rsidRPr="00A87236" w:rsidRDefault="00F7214F" w:rsidP="00962291">
            <w:pPr>
              <w:rPr>
                <w:rFonts w:ascii="Aptos" w:eastAsia="Aptos" w:hAnsi="Aptos" w:cs="Aptos"/>
              </w:rPr>
            </w:pPr>
            <w:r w:rsidRPr="00A87236">
              <w:rPr>
                <w:rFonts w:ascii="Aptos" w:eastAsia="Aptos" w:hAnsi="Aptos" w:cs="Aptos"/>
              </w:rPr>
              <w:lastRenderedPageBreak/>
              <w:t>Importancia de la WWN: Encuesta Mundial sobre los Humedales; participación de la comunidad y consentimiento libre, previo e informado</w:t>
            </w:r>
          </w:p>
          <w:p w14:paraId="5D144BA4" w14:textId="2EEC0E4D" w:rsidR="004E211D" w:rsidRPr="00A87236" w:rsidRDefault="004E211D" w:rsidP="00962291">
            <w:pPr>
              <w:rPr>
                <w:rFonts w:ascii="Aptos" w:eastAsia="Aptos" w:hAnsi="Aptos" w:cs="Aptos"/>
              </w:rPr>
            </w:pPr>
            <w:r w:rsidRPr="00A87236">
              <w:rPr>
                <w:rFonts w:ascii="Aptos" w:eastAsia="Aptos" w:hAnsi="Aptos" w:cs="Aptos"/>
              </w:rPr>
              <w:t xml:space="preserve"> </w:t>
            </w:r>
          </w:p>
          <w:p w14:paraId="228215DD" w14:textId="664FE4CF" w:rsidR="004E211D" w:rsidRPr="00A87236" w:rsidRDefault="00F7214F" w:rsidP="00962291">
            <w:pPr>
              <w:rPr>
                <w:rFonts w:ascii="Aptos" w:eastAsia="Aptos" w:hAnsi="Aptos" w:cs="Aptos"/>
              </w:rPr>
            </w:pPr>
            <w:r w:rsidRPr="00A87236">
              <w:rPr>
                <w:rFonts w:ascii="Aptos" w:eastAsia="Aptos" w:hAnsi="Aptos" w:cs="Aptos"/>
              </w:rPr>
              <w:t>Presentado por China, Burkina Faso, Camboya, Gabón, Libia, Madagascar y Panamá</w:t>
            </w:r>
          </w:p>
          <w:p w14:paraId="2209D129" w14:textId="77777777" w:rsidR="00F7214F" w:rsidRPr="00A87236" w:rsidRDefault="00F7214F" w:rsidP="00962291">
            <w:pPr>
              <w:rPr>
                <w:rFonts w:ascii="Aptos" w:eastAsia="Aptos" w:hAnsi="Aptos" w:cs="Aptos"/>
              </w:rPr>
            </w:pPr>
          </w:p>
          <w:p w14:paraId="403BB694" w14:textId="64FA85B6" w:rsidR="00F7214F" w:rsidRPr="00A87236" w:rsidRDefault="00F7214F" w:rsidP="00F7214F">
            <w:pPr>
              <w:rPr>
                <w:rFonts w:ascii="Aptos" w:eastAsia="Aptos" w:hAnsi="Aptos" w:cs="Aptos"/>
                <w:i/>
              </w:rPr>
            </w:pPr>
            <w:r w:rsidRPr="00A87236">
              <w:rPr>
                <w:rFonts w:ascii="Aptos" w:eastAsia="Aptos" w:hAnsi="Aptos" w:cs="Aptos"/>
                <w:i/>
              </w:rPr>
              <w:t>NSTA a las Partes Contratantes, respetando el consentimiento libre, previo e informado de los Pueblos Indígenas y las comunidades locales, a promover el desarrollo de la ciencia, la tecnología y la innovación en beneficio de la conservación de los humedales, así como del bienestar de las comunidades locales que viven en ellos;</w:t>
            </w:r>
          </w:p>
          <w:p w14:paraId="44C48E4D" w14:textId="0DE01203" w:rsidR="00F7214F" w:rsidRPr="00A87236" w:rsidRDefault="00F7214F" w:rsidP="00F7214F">
            <w:pPr>
              <w:rPr>
                <w:rFonts w:ascii="Aptos" w:eastAsia="Aptos" w:hAnsi="Aptos" w:cs="Aptos"/>
                <w:i/>
              </w:rPr>
            </w:pPr>
            <w:r w:rsidRPr="00A87236">
              <w:rPr>
                <w:rFonts w:ascii="Aptos" w:eastAsia="Aptos" w:hAnsi="Aptos" w:cs="Aptos"/>
                <w:i/>
              </w:rPr>
              <w:lastRenderedPageBreak/>
              <w:t xml:space="preserve">14. ALIENTA a las Partes Contratantes a compartir tecnología y conocimientos pertinentes para la conservación y gestión de los humedales, [de forma voluntaria y con condiciones mutuamente acordadas] según proceda, para promover el desarrollo integrador de las nuevas tecnologías y los conocimientos tradicionales a escala regional y mundial a través de múltiples mecanismos, incluidas las iniciativas regionales de Ramsar, foros temáticos para abordar cuestiones transversales como el Foro Costero Mundial, otros programas de acuerdos multilaterales sobre el medio ambiente e iniciativas impulsadas por las Organizaciones Internacionales Asociadas </w:t>
            </w:r>
          </w:p>
          <w:p w14:paraId="4393F0AC" w14:textId="77777777" w:rsidR="00F7214F" w:rsidRPr="00A87236" w:rsidRDefault="00F7214F" w:rsidP="00F7214F">
            <w:pPr>
              <w:rPr>
                <w:rFonts w:ascii="Aptos" w:eastAsia="Aptos" w:hAnsi="Aptos" w:cs="Aptos"/>
                <w:i/>
              </w:rPr>
            </w:pPr>
            <w:r w:rsidRPr="00A87236">
              <w:rPr>
                <w:rFonts w:ascii="Aptos" w:eastAsia="Aptos" w:hAnsi="Aptos" w:cs="Aptos"/>
                <w:i/>
              </w:rPr>
              <w:t xml:space="preserve">(OIA) a la Convención; </w:t>
            </w:r>
          </w:p>
          <w:p w14:paraId="01B272DB" w14:textId="369AE27D" w:rsidR="00F7214F" w:rsidRPr="00A87236" w:rsidRDefault="00F7214F" w:rsidP="00F7214F">
            <w:pPr>
              <w:rPr>
                <w:rFonts w:ascii="Aptos" w:eastAsia="Aptos" w:hAnsi="Aptos" w:cs="Aptos"/>
                <w:i/>
              </w:rPr>
            </w:pPr>
            <w:r w:rsidRPr="00A87236">
              <w:rPr>
                <w:rFonts w:ascii="Aptos" w:eastAsia="Aptos" w:hAnsi="Aptos" w:cs="Aptos"/>
                <w:i/>
              </w:rPr>
              <w:t>15. ALIENTA ADEMÁS a las Partes Contratantes, respetando el consentimiento libre, previo e</w:t>
            </w:r>
            <w:r w:rsidR="00D13CFC" w:rsidRPr="00A87236">
              <w:rPr>
                <w:rFonts w:ascii="Aptos" w:eastAsia="Aptos" w:hAnsi="Aptos" w:cs="Aptos"/>
                <w:i/>
              </w:rPr>
              <w:t xml:space="preserve"> </w:t>
            </w:r>
            <w:r w:rsidRPr="00A87236">
              <w:rPr>
                <w:rFonts w:ascii="Aptos" w:eastAsia="Aptos" w:hAnsi="Aptos" w:cs="Aptos"/>
                <w:i/>
              </w:rPr>
              <w:t>informado de los Pueblos Indígenas y las comunidades locales, a promover la incorporación e integración de nuevas tecnologías y conocimientos tradicionales [a título voluntario y con condiciones mutuamente acordadas], según proceda, en la conservación, restauración, gestión y uso racional de los humedales, respetando sus circunstancias nacionales y en función de los</w:t>
            </w:r>
            <w:r w:rsidR="00D13CFC" w:rsidRPr="00A87236">
              <w:rPr>
                <w:rFonts w:ascii="Aptos" w:eastAsia="Aptos" w:hAnsi="Aptos" w:cs="Aptos"/>
                <w:i/>
              </w:rPr>
              <w:t xml:space="preserve"> </w:t>
            </w:r>
            <w:r w:rsidRPr="00A87236">
              <w:rPr>
                <w:rFonts w:ascii="Aptos" w:eastAsia="Aptos" w:hAnsi="Aptos" w:cs="Aptos"/>
                <w:i/>
              </w:rPr>
              <w:t>recursos disponibles, y a compartir los beneficios, ya sean económicos o de otro tipo, de la labor emprendida sobre los humedales junto a los titulares de los conocimientos</w:t>
            </w:r>
            <w:r w:rsidR="00D13CFC" w:rsidRPr="00A87236">
              <w:rPr>
                <w:rFonts w:ascii="Aptos" w:eastAsia="Aptos" w:hAnsi="Aptos" w:cs="Aptos"/>
                <w:i/>
              </w:rPr>
              <w:t xml:space="preserve"> </w:t>
            </w:r>
            <w:r w:rsidRPr="00A87236">
              <w:rPr>
                <w:rFonts w:ascii="Aptos" w:eastAsia="Aptos" w:hAnsi="Aptos" w:cs="Aptos"/>
                <w:i/>
              </w:rPr>
              <w:t xml:space="preserve">tradicionales; </w:t>
            </w:r>
          </w:p>
          <w:p w14:paraId="32F5792F" w14:textId="08712196" w:rsidR="00F7214F" w:rsidRPr="00A87236" w:rsidRDefault="00F7214F" w:rsidP="00F7214F">
            <w:pPr>
              <w:rPr>
                <w:rFonts w:ascii="Aptos" w:eastAsia="Aptos" w:hAnsi="Aptos" w:cs="Aptos"/>
                <w:i/>
              </w:rPr>
            </w:pPr>
            <w:r w:rsidRPr="00A87236">
              <w:rPr>
                <w:rFonts w:ascii="Aptos" w:eastAsia="Aptos" w:hAnsi="Aptos" w:cs="Aptos"/>
                <w:i/>
              </w:rPr>
              <w:t>16. ALIENTA las iniciativas destinadas a respetar la propiedad de los conocimientos y mantener la coherencia con los acuerdos internacionales vigentes sobre propiedad intelectual y los principios de consentimiento libre, previo e informado en relación con el acceso a la tecnología y los conocimientos, que deberían incluir protecciones relativas a su difusión de acuerdo con los deseos de los participantes;</w:t>
            </w:r>
          </w:p>
          <w:p w14:paraId="7E09AF6B" w14:textId="2A2E76D0" w:rsidR="004E211D" w:rsidRPr="00A87236" w:rsidRDefault="00F7214F" w:rsidP="00D13CFC">
            <w:pPr>
              <w:rPr>
                <w:rFonts w:ascii="Aptos" w:eastAsia="Aptos" w:hAnsi="Aptos" w:cs="Aptos"/>
              </w:rPr>
            </w:pPr>
            <w:r w:rsidRPr="00A87236">
              <w:rPr>
                <w:rFonts w:ascii="Aptos" w:eastAsia="Aptos" w:hAnsi="Aptos" w:cs="Aptos"/>
                <w:i/>
              </w:rPr>
              <w:t>17. INVITA a aquellas Partes Contratantes que incorporen e integren nuevas tecnologías y conocimientos tradicionales a que compartan sus buenas prácticas, experiencias y enseñanzas en materia de conservación, gestión y uso racional de los humedales [a título voluntario];</w:t>
            </w:r>
          </w:p>
        </w:tc>
        <w:tc>
          <w:tcPr>
            <w:tcW w:w="1843" w:type="dxa"/>
          </w:tcPr>
          <w:p w14:paraId="752EA74B" w14:textId="24AE0857" w:rsidR="004E211D" w:rsidRPr="00A87236" w:rsidRDefault="00F7214F" w:rsidP="00962291">
            <w:pPr>
              <w:rPr>
                <w:rFonts w:eastAsia="Aptos" w:cs="Aptos"/>
              </w:rPr>
            </w:pPr>
            <w:r w:rsidRPr="00A87236">
              <w:rPr>
                <w:rFonts w:eastAsia="Aptos" w:cs="Aptos"/>
              </w:rPr>
              <w:lastRenderedPageBreak/>
              <w:t>Media. No menciona a WWS y WWN no ha participado, pero potencial para que ambos sean relevantes.</w:t>
            </w:r>
          </w:p>
        </w:tc>
      </w:tr>
      <w:tr w:rsidR="004E211D" w:rsidRPr="00A87236" w14:paraId="07148079" w14:textId="638350B1" w:rsidTr="00962291">
        <w:trPr>
          <w:trHeight w:val="300"/>
        </w:trPr>
        <w:tc>
          <w:tcPr>
            <w:tcW w:w="2755" w:type="dxa"/>
          </w:tcPr>
          <w:p w14:paraId="5716E51E" w14:textId="63790183" w:rsidR="004E211D" w:rsidRPr="00A87236" w:rsidRDefault="009F53EF" w:rsidP="00962291">
            <w:pPr>
              <w:rPr>
                <w:b/>
              </w:rPr>
            </w:pPr>
            <w:r w:rsidRPr="00A87236">
              <w:rPr>
                <w:b/>
              </w:rPr>
              <w:t>OMEC/OECM</w:t>
            </w:r>
            <w:r w:rsidR="004E211D" w:rsidRPr="00A87236">
              <w:rPr>
                <w:b/>
              </w:rPr>
              <w:t>s</w:t>
            </w:r>
          </w:p>
          <w:p w14:paraId="3B3172DB" w14:textId="77777777" w:rsidR="004E211D" w:rsidRPr="00A87236" w:rsidRDefault="004E211D" w:rsidP="00962291"/>
          <w:p w14:paraId="26E0A023" w14:textId="50F6A6C4" w:rsidR="004E211D" w:rsidRPr="00A87236" w:rsidRDefault="00D13CFC" w:rsidP="00962291">
            <w:pPr>
              <w:rPr>
                <w:color w:val="000000"/>
              </w:rPr>
            </w:pPr>
            <w:r w:rsidRPr="00A87236">
              <w:rPr>
                <w:color w:val="000000"/>
              </w:rPr>
              <w:t xml:space="preserve">Proyecto de resolución sobre la consecución de la gobernanza </w:t>
            </w:r>
            <w:r w:rsidRPr="00A87236">
              <w:rPr>
                <w:color w:val="000000"/>
              </w:rPr>
              <w:lastRenderedPageBreak/>
              <w:t xml:space="preserve">equitativa y la conservación eficaz de los humedales como áreas protegidas y otras medidas eficaces de conservación basadas en áreas (OECM) </w:t>
            </w:r>
          </w:p>
          <w:p w14:paraId="216891E9" w14:textId="77777777" w:rsidR="00D13CFC" w:rsidRPr="00A87236" w:rsidRDefault="00D13CFC" w:rsidP="00962291"/>
          <w:p w14:paraId="05325BD2" w14:textId="657B9DBC" w:rsidR="004E211D" w:rsidRPr="00A87236" w:rsidRDefault="00B96C92" w:rsidP="00962291">
            <w:pPr>
              <w:rPr>
                <w:rFonts w:eastAsia="Aptos" w:cs="Aptos"/>
              </w:rPr>
            </w:pPr>
            <w:hyperlink r:id="rId11" w:history="1">
              <w:r w:rsidR="00D13CFC" w:rsidRPr="00A87236">
                <w:rPr>
                  <w:rStyle w:val="Hyperlink"/>
                </w:rPr>
                <w:t>https://www.ramsar.org/sites/default/files/2025-04/COP15_23_18_DR_%20oecms_s.docx</w:t>
              </w:r>
            </w:hyperlink>
            <w:r w:rsidR="00D13CFC" w:rsidRPr="00A87236">
              <w:t xml:space="preserve"> </w:t>
            </w:r>
          </w:p>
        </w:tc>
        <w:tc>
          <w:tcPr>
            <w:tcW w:w="9289" w:type="dxa"/>
          </w:tcPr>
          <w:p w14:paraId="7B474019" w14:textId="77777777" w:rsidR="002E3036" w:rsidRPr="00A87236" w:rsidRDefault="002E3036" w:rsidP="00962291">
            <w:pPr>
              <w:rPr>
                <w:rFonts w:eastAsia="Aptos" w:cs="Aptos"/>
              </w:rPr>
            </w:pPr>
          </w:p>
          <w:p w14:paraId="1505EBEF" w14:textId="5A48C0FC" w:rsidR="004E211D" w:rsidRPr="00A87236" w:rsidRDefault="00BB0680" w:rsidP="00962291">
            <w:pPr>
              <w:rPr>
                <w:rFonts w:eastAsia="Aptos" w:cs="Aptos"/>
              </w:rPr>
            </w:pPr>
            <w:r w:rsidRPr="00A87236">
              <w:rPr>
                <w:rFonts w:eastAsia="Aptos" w:cs="Aptos"/>
                <w:i/>
              </w:rPr>
              <w:t xml:space="preserve">Varias Partes Contratantes expresaron su apoyo al proyecto de resolución, destacando la importancia de crear sinergias con el Marco Global de Biodiversidad de Kunming-Montreal y el valor añadido potencial para la aplicación de las Estrategias Nacionales de Biodiversidad y Planes de Acción. Varias Partes hicieron </w:t>
            </w:r>
            <w:r w:rsidRPr="00A87236">
              <w:rPr>
                <w:rFonts w:eastAsia="Aptos" w:cs="Aptos"/>
                <w:i/>
              </w:rPr>
              <w:lastRenderedPageBreak/>
              <w:t>sugerencias de enmiendas, incluida la adición de una referencia a la definición y los criterios para identificar otras medidas eficaces de conservación basadas en zonas geográficas específicas (OECM) adoptadas por el Convenio sobre la Diversidad Biológica (CDB).</w:t>
            </w:r>
          </w:p>
        </w:tc>
        <w:tc>
          <w:tcPr>
            <w:tcW w:w="1843" w:type="dxa"/>
          </w:tcPr>
          <w:p w14:paraId="3403D13F" w14:textId="0EAF458D" w:rsidR="004E211D" w:rsidRPr="00A87236" w:rsidRDefault="004E211D" w:rsidP="00962291">
            <w:pPr>
              <w:rPr>
                <w:rFonts w:eastAsia="Aptos" w:cs="Aptos"/>
              </w:rPr>
            </w:pPr>
            <w:r w:rsidRPr="00A87236">
              <w:rPr>
                <w:rFonts w:eastAsia="Aptos" w:cs="Aptos"/>
              </w:rPr>
              <w:lastRenderedPageBreak/>
              <w:t>High</w:t>
            </w:r>
          </w:p>
        </w:tc>
      </w:tr>
      <w:tr w:rsidR="004E211D" w:rsidRPr="00A87236" w14:paraId="3BA5D1DC" w14:textId="099CB269" w:rsidTr="00962291">
        <w:trPr>
          <w:trHeight w:val="300"/>
        </w:trPr>
        <w:tc>
          <w:tcPr>
            <w:tcW w:w="2755" w:type="dxa"/>
          </w:tcPr>
          <w:p w14:paraId="1D7E5ACB" w14:textId="2D97353F" w:rsidR="004E211D" w:rsidRPr="001E5AE6" w:rsidRDefault="001E5AE6" w:rsidP="00962291">
            <w:pPr>
              <w:rPr>
                <w:rFonts w:eastAsia="Aptos" w:cs="Aptos"/>
              </w:rPr>
            </w:pPr>
            <w:r w:rsidRPr="001E5AE6">
              <w:rPr>
                <w:rFonts w:eastAsia="Aptos" w:cs="Aptos"/>
              </w:rPr>
              <w:t>Juventud</w:t>
            </w:r>
          </w:p>
          <w:p w14:paraId="1CE27A32" w14:textId="77777777" w:rsidR="001E5AE6" w:rsidRPr="00A87236" w:rsidRDefault="001E5AE6" w:rsidP="00962291">
            <w:pPr>
              <w:rPr>
                <w:rFonts w:eastAsia="Aptos" w:cs="Aptos"/>
                <w:highlight w:val="yellow"/>
              </w:rPr>
            </w:pPr>
          </w:p>
          <w:p w14:paraId="65DBC148" w14:textId="77777777" w:rsidR="001E5AE6" w:rsidRDefault="001E5AE6" w:rsidP="00962291">
            <w:pPr>
              <w:rPr>
                <w:rFonts w:eastAsia="Aptos" w:cs="Aptos"/>
              </w:rPr>
            </w:pPr>
            <w:r w:rsidRPr="001E5AE6">
              <w:rPr>
                <w:rFonts w:eastAsia="Aptos" w:cs="Aptos"/>
              </w:rPr>
              <w:t>Proyecto de resolución sobre el empoderamiento y la integración de la juventud: promoción de su participación en la Convención sobre los Humedales y perennidad de la Convención</w:t>
            </w:r>
          </w:p>
          <w:p w14:paraId="6E3CA629" w14:textId="77777777" w:rsidR="001E5AE6" w:rsidRPr="001E5AE6" w:rsidRDefault="004E211D" w:rsidP="00962291">
            <w:r w:rsidRPr="001E5AE6">
              <w:t xml:space="preserve"> </w:t>
            </w:r>
          </w:p>
          <w:p w14:paraId="3CBEF072" w14:textId="47B80A6A" w:rsidR="004E211D" w:rsidRPr="00A87236" w:rsidRDefault="001E5AE6" w:rsidP="00962291">
            <w:pPr>
              <w:rPr>
                <w:rFonts w:eastAsia="Aptos" w:cs="Aptos"/>
                <w:highlight w:val="yellow"/>
              </w:rPr>
            </w:pPr>
            <w:hyperlink r:id="rId12" w:history="1">
              <w:r>
                <w:rPr>
                  <w:rStyle w:val="Hyperlink"/>
                </w:rPr>
                <w:t>COP15_23_19_DR_youth_s.docx</w:t>
              </w:r>
            </w:hyperlink>
          </w:p>
        </w:tc>
        <w:tc>
          <w:tcPr>
            <w:tcW w:w="9289" w:type="dxa"/>
          </w:tcPr>
          <w:p w14:paraId="4CF2A6F2" w14:textId="77777777" w:rsidR="001E5AE6" w:rsidRPr="001E5AE6" w:rsidRDefault="001E5AE6" w:rsidP="001E5AE6">
            <w:pPr>
              <w:rPr>
                <w:rFonts w:eastAsia="Aptos" w:cs="Aptos"/>
              </w:rPr>
            </w:pPr>
            <w:r w:rsidRPr="001E5AE6">
              <w:rPr>
                <w:rFonts w:eastAsia="Aptos" w:cs="Aptos"/>
              </w:rPr>
              <w:t xml:space="preserve">Ahora hay al menos 39 Puntos Focales Juveniles. </w:t>
            </w:r>
          </w:p>
          <w:p w14:paraId="13FB793E" w14:textId="77777777" w:rsidR="001E5AE6" w:rsidRPr="001E5AE6" w:rsidRDefault="001E5AE6" w:rsidP="001E5AE6">
            <w:pPr>
              <w:rPr>
                <w:rFonts w:eastAsia="Aptos" w:cs="Aptos"/>
              </w:rPr>
            </w:pPr>
          </w:p>
          <w:p w14:paraId="31670582" w14:textId="77777777" w:rsidR="001E5AE6" w:rsidRPr="001E5AE6" w:rsidRDefault="001E5AE6" w:rsidP="001E5AE6">
            <w:pPr>
              <w:rPr>
                <w:rFonts w:eastAsia="Aptos" w:cs="Aptos"/>
              </w:rPr>
            </w:pPr>
            <w:r w:rsidRPr="001E5AE6">
              <w:rPr>
                <w:rFonts w:eastAsia="Aptos" w:cs="Aptos"/>
              </w:rPr>
              <w:t>Madagascar comentó la necesidad de averiguar su dirección y si WWT Madagascar puede influir.</w:t>
            </w:r>
          </w:p>
          <w:p w14:paraId="584B18BA" w14:textId="77777777" w:rsidR="001E5AE6" w:rsidRPr="001E5AE6" w:rsidRDefault="001E5AE6" w:rsidP="001E5AE6">
            <w:pPr>
              <w:rPr>
                <w:rFonts w:eastAsia="Aptos" w:cs="Aptos"/>
              </w:rPr>
            </w:pPr>
          </w:p>
          <w:p w14:paraId="540082DE" w14:textId="77777777" w:rsidR="001E5AE6" w:rsidRPr="001E5AE6" w:rsidRDefault="001E5AE6" w:rsidP="001E5AE6">
            <w:pPr>
              <w:rPr>
                <w:rFonts w:eastAsia="Aptos" w:cs="Aptos"/>
              </w:rPr>
            </w:pPr>
            <w:r w:rsidRPr="001E5AE6">
              <w:rPr>
                <w:rFonts w:eastAsia="Aptos" w:cs="Aptos"/>
              </w:rPr>
              <w:t>El objetivo de la resolución es seguir impulsando el compromiso de los jóvenes y al mismo tiempo pensar en una manera de lograr la sostenibilidad a través del tiempo mediante la reinstalación del YWG para el próximo trienio. (Hay mucho trabajo que el YWG ha comenzado y el plan de trabajo para la juventud tiene otros objetivos que aún deben desarrollarse).</w:t>
            </w:r>
          </w:p>
          <w:p w14:paraId="32A95CAF" w14:textId="77777777" w:rsidR="001E5AE6" w:rsidRPr="001E5AE6" w:rsidRDefault="001E5AE6" w:rsidP="001E5AE6">
            <w:pPr>
              <w:rPr>
                <w:rFonts w:eastAsia="Aptos" w:cs="Aptos"/>
              </w:rPr>
            </w:pPr>
          </w:p>
          <w:p w14:paraId="26557DD7" w14:textId="77777777" w:rsidR="001E5AE6" w:rsidRPr="001E5AE6" w:rsidRDefault="001E5AE6" w:rsidP="001E5AE6">
            <w:pPr>
              <w:rPr>
                <w:rFonts w:eastAsia="Aptos" w:cs="Aptos"/>
                <w:b/>
              </w:rPr>
            </w:pPr>
            <w:r w:rsidRPr="001E5AE6">
              <w:rPr>
                <w:rFonts w:eastAsia="Aptos" w:cs="Aptos"/>
                <w:b/>
              </w:rPr>
              <w:t xml:space="preserve">Relevancia de la WWN y de la sociedad civil: </w:t>
            </w:r>
          </w:p>
          <w:p w14:paraId="38C979E5" w14:textId="77777777" w:rsidR="001E5AE6" w:rsidRPr="001E5AE6" w:rsidRDefault="001E5AE6" w:rsidP="001E5AE6">
            <w:pPr>
              <w:rPr>
                <w:rFonts w:eastAsia="Aptos" w:cs="Aptos"/>
              </w:rPr>
            </w:pPr>
            <w:r w:rsidRPr="001E5AE6">
              <w:rPr>
                <w:rFonts w:eastAsia="Aptos" w:cs="Aptos"/>
              </w:rPr>
              <w:t xml:space="preserve">«INVITA a la Secretaría a [solicitar contribuciones financieras voluntarias,] informar al Grupo de Trabajo sobre la Juventud de las oportunidades de financiación disponibles, y establecer conexiones con posibles socios donantes que puedan ofrecer apoyo financiero al grupo, según proceda, para facilitar el Grupo de Trabajo y el compromiso de los jóvenes y los proyectos más ampliamente, incluyendo comisiones de servicio profesionales para apoyar el empleo de un asesor de la juventud(. ..)» e “ INVITA a las OIA a que refuercen la participación de los jóvenes en </w:t>
            </w:r>
            <w:r w:rsidRPr="001E5AE6">
              <w:rPr>
                <w:rFonts w:eastAsia="Aptos" w:cs="Aptos"/>
              </w:rPr>
              <w:lastRenderedPageBreak/>
              <w:t>sus programas y actividades de divulgación, incluso participando en el Grupo de Trabajo sobre la Juventud y ofreciéndole [contribuciones]/[oportunidades] financieras, alineando las actividades de los jóvenes con el Plan de Trabajo sobre la Juventud e incluyendo a los jóvenes en los procesos y puestos clave de gobernanza y toma de decisiones”.</w:t>
            </w:r>
          </w:p>
          <w:p w14:paraId="24562966" w14:textId="77777777" w:rsidR="001E5AE6" w:rsidRPr="001E5AE6" w:rsidRDefault="001E5AE6" w:rsidP="001E5AE6">
            <w:pPr>
              <w:rPr>
                <w:rFonts w:eastAsia="Aptos" w:cs="Aptos"/>
              </w:rPr>
            </w:pPr>
          </w:p>
          <w:p w14:paraId="187EF46A" w14:textId="77777777" w:rsidR="001E5AE6" w:rsidRPr="001E5AE6" w:rsidRDefault="001E5AE6" w:rsidP="001E5AE6">
            <w:pPr>
              <w:rPr>
                <w:rFonts w:eastAsia="Aptos" w:cs="Aptos"/>
              </w:rPr>
            </w:pPr>
            <w:r w:rsidRPr="001E5AE6">
              <w:rPr>
                <w:rFonts w:eastAsia="Aptos" w:cs="Aptos"/>
              </w:rPr>
              <w:t xml:space="preserve">Los miembros de la sociedad civil pueden ayudar a encontrar opciones de financiación para aumentar la participación de los jóvenes, así como reforzar la presencia de los jóvenes en sus programas. </w:t>
            </w:r>
          </w:p>
          <w:p w14:paraId="59734F7D" w14:textId="77777777" w:rsidR="001E5AE6" w:rsidRPr="001E5AE6" w:rsidRDefault="001E5AE6" w:rsidP="001E5AE6">
            <w:pPr>
              <w:rPr>
                <w:rFonts w:eastAsia="Aptos" w:cs="Aptos"/>
              </w:rPr>
            </w:pPr>
          </w:p>
          <w:p w14:paraId="37BD451A" w14:textId="77777777" w:rsidR="001E5AE6" w:rsidRPr="001E5AE6" w:rsidRDefault="001E5AE6" w:rsidP="001E5AE6">
            <w:pPr>
              <w:rPr>
                <w:rFonts w:eastAsia="Aptos" w:cs="Aptos"/>
              </w:rPr>
            </w:pPr>
            <w:r w:rsidRPr="001E5AE6">
              <w:rPr>
                <w:rFonts w:eastAsia="Aptos" w:cs="Aptos"/>
              </w:rPr>
              <w:t>Aunque no figura en el actual proyecto de resolución, hacer del YWG un órgano de la convención podría ser un debate a iniciar en la COP. Así como estrategias de financiación a largo plazo.</w:t>
            </w:r>
          </w:p>
          <w:p w14:paraId="7310D65A" w14:textId="77777777" w:rsidR="001E5AE6" w:rsidRPr="001E5AE6" w:rsidRDefault="001E5AE6" w:rsidP="001E5AE6">
            <w:pPr>
              <w:rPr>
                <w:rFonts w:eastAsia="Aptos" w:cs="Aptos"/>
              </w:rPr>
            </w:pPr>
          </w:p>
          <w:p w14:paraId="6EB48309" w14:textId="67FC27B7" w:rsidR="004E211D" w:rsidRPr="00A87236" w:rsidRDefault="001E5AE6" w:rsidP="001E5AE6">
            <w:pPr>
              <w:rPr>
                <w:rFonts w:eastAsia="Aptos" w:cs="Aptos"/>
                <w:highlight w:val="yellow"/>
              </w:rPr>
            </w:pPr>
            <w:r w:rsidRPr="001E5AE6">
              <w:rPr>
                <w:rFonts w:eastAsia="Aptos" w:cs="Aptos"/>
              </w:rPr>
              <w:t>Podrían ser necesarias medidas de rendición de cuentas en la resolución para reforzar los compromisos de los PC, ya que no todos los países han designado aún un punto focal para la juventud...</w:t>
            </w:r>
          </w:p>
          <w:p w14:paraId="1F233536" w14:textId="63BF80F1" w:rsidR="004E211D" w:rsidRPr="00A87236" w:rsidRDefault="004E211D" w:rsidP="00962291">
            <w:pPr>
              <w:rPr>
                <w:rFonts w:eastAsia="Aptos" w:cs="Aptos"/>
                <w:highlight w:val="yellow"/>
              </w:rPr>
            </w:pPr>
          </w:p>
        </w:tc>
        <w:tc>
          <w:tcPr>
            <w:tcW w:w="1843" w:type="dxa"/>
          </w:tcPr>
          <w:p w14:paraId="6DEDC2C5" w14:textId="0FCC4D09" w:rsidR="004E211D" w:rsidRPr="00A87236" w:rsidRDefault="004E211D" w:rsidP="00962291">
            <w:pPr>
              <w:rPr>
                <w:rFonts w:eastAsia="Aptos" w:cs="Aptos"/>
                <w:highlight w:val="yellow"/>
              </w:rPr>
            </w:pPr>
            <w:r w:rsidRPr="00A87236">
              <w:rPr>
                <w:rFonts w:eastAsia="Aptos" w:cs="Aptos"/>
              </w:rPr>
              <w:lastRenderedPageBreak/>
              <w:t>High</w:t>
            </w:r>
          </w:p>
        </w:tc>
      </w:tr>
      <w:tr w:rsidR="004E211D" w:rsidRPr="00A87236" w14:paraId="3FE035E3" w14:textId="43415423" w:rsidTr="00962291">
        <w:trPr>
          <w:trHeight w:val="300"/>
        </w:trPr>
        <w:tc>
          <w:tcPr>
            <w:tcW w:w="2755" w:type="dxa"/>
          </w:tcPr>
          <w:p w14:paraId="023FEAF3" w14:textId="106BCA78" w:rsidR="004E211D" w:rsidRPr="001E5AE6" w:rsidRDefault="001E5AE6" w:rsidP="00962291">
            <w:pPr>
              <w:rPr>
                <w:rFonts w:eastAsia="Aptos" w:cs="Aptos"/>
                <w:b/>
              </w:rPr>
            </w:pPr>
            <w:r w:rsidRPr="001E5AE6">
              <w:rPr>
                <w:rFonts w:eastAsia="Aptos" w:cs="Aptos"/>
                <w:b/>
              </w:rPr>
              <w:t>Cultura</w:t>
            </w:r>
          </w:p>
          <w:p w14:paraId="1EDC53A7" w14:textId="77777777" w:rsidR="004E211D" w:rsidRPr="00A87236" w:rsidRDefault="004E211D" w:rsidP="00962291">
            <w:pPr>
              <w:rPr>
                <w:rFonts w:eastAsia="Aptos" w:cs="Aptos"/>
                <w:highlight w:val="yellow"/>
              </w:rPr>
            </w:pPr>
          </w:p>
          <w:p w14:paraId="396408CF" w14:textId="08DC2067" w:rsidR="004E211D" w:rsidRDefault="001E5AE6" w:rsidP="00962291">
            <w:pPr>
              <w:rPr>
                <w:rFonts w:eastAsia="Aptos" w:cs="Aptos"/>
              </w:rPr>
            </w:pPr>
            <w:r w:rsidRPr="001E5AE6">
              <w:rPr>
                <w:rFonts w:eastAsia="Aptos" w:cs="Aptos"/>
              </w:rPr>
              <w:t>Proyecto de resolución sobre fortalecimiento de la acción en materia de cultura y humedales</w:t>
            </w:r>
          </w:p>
          <w:p w14:paraId="7FD3D21A" w14:textId="77777777" w:rsidR="001E5AE6" w:rsidRPr="00A87236" w:rsidRDefault="001E5AE6" w:rsidP="00962291">
            <w:pPr>
              <w:rPr>
                <w:rFonts w:eastAsia="Aptos" w:cs="Aptos"/>
                <w:highlight w:val="yellow"/>
              </w:rPr>
            </w:pPr>
          </w:p>
          <w:p w14:paraId="6DBD9934" w14:textId="49CFDCDB" w:rsidR="004E211D" w:rsidRPr="00A87236" w:rsidRDefault="00FE14EA" w:rsidP="00962291">
            <w:pPr>
              <w:rPr>
                <w:rFonts w:eastAsia="Aptos" w:cs="Aptos"/>
                <w:highlight w:val="yellow"/>
              </w:rPr>
            </w:pPr>
            <w:hyperlink r:id="rId13" w:history="1">
              <w:r>
                <w:rPr>
                  <w:rStyle w:val="Hyperlink"/>
                </w:rPr>
                <w:t>COP15_23_14_DR_culture_and_wetlands_s.docx</w:t>
              </w:r>
            </w:hyperlink>
          </w:p>
        </w:tc>
        <w:tc>
          <w:tcPr>
            <w:tcW w:w="9289" w:type="dxa"/>
          </w:tcPr>
          <w:p w14:paraId="7EE70D6F" w14:textId="77777777" w:rsidR="001E5AE6" w:rsidRPr="001E5AE6" w:rsidRDefault="001E5AE6" w:rsidP="001E5AE6">
            <w:pPr>
              <w:rPr>
                <w:rFonts w:eastAsia="Aptos" w:cs="Aptos"/>
              </w:rPr>
            </w:pPr>
            <w:r w:rsidRPr="001E5AE6">
              <w:rPr>
                <w:rFonts w:eastAsia="Aptos" w:cs="Aptos"/>
              </w:rPr>
              <w:t>Kenia en nombre de Uganda. La WWN tiene miembros en ambos países.</w:t>
            </w:r>
          </w:p>
          <w:p w14:paraId="00FB63EC" w14:textId="77777777" w:rsidR="001E5AE6" w:rsidRPr="001E5AE6" w:rsidRDefault="001E5AE6" w:rsidP="001E5AE6">
            <w:pPr>
              <w:rPr>
                <w:rFonts w:eastAsia="Aptos" w:cs="Aptos"/>
              </w:rPr>
            </w:pPr>
            <w:r w:rsidRPr="001E5AE6">
              <w:rPr>
                <w:rFonts w:eastAsia="Aptos" w:cs="Aptos"/>
              </w:rPr>
              <w:t>Sobre la participación sugerida de los Pueblos Indígenas, un miembro hizo hincapié en que la participación debe ser conforme a la legislación nacional de cada Parte.</w:t>
            </w:r>
          </w:p>
          <w:p w14:paraId="319CB995" w14:textId="47350D4E" w:rsidR="004E211D" w:rsidRPr="00A87236" w:rsidRDefault="001E5AE6" w:rsidP="001E5AE6">
            <w:pPr>
              <w:rPr>
                <w:rFonts w:eastAsia="Aptos" w:cs="Aptos"/>
                <w:i/>
                <w:iCs/>
                <w:highlight w:val="yellow"/>
              </w:rPr>
            </w:pPr>
            <w:r w:rsidRPr="001E5AE6">
              <w:rPr>
                <w:rFonts w:eastAsia="Aptos" w:cs="Aptos"/>
              </w:rPr>
              <w:t xml:space="preserve">Los miembros de la WWN apoyan la solicitud relacionada con el evento paralelo. </w:t>
            </w:r>
          </w:p>
          <w:p w14:paraId="593601DB" w14:textId="1744378E" w:rsidR="004E211D" w:rsidRPr="00152121" w:rsidRDefault="004E211D" w:rsidP="00962291">
            <w:pPr>
              <w:rPr>
                <w:rFonts w:eastAsia="Aptos" w:cs="Aptos"/>
                <w:i/>
                <w:highlight w:val="yellow"/>
              </w:rPr>
            </w:pPr>
          </w:p>
          <w:p w14:paraId="5A7E49F0" w14:textId="58DA4EA1" w:rsidR="004E211D" w:rsidRPr="00FE14EA" w:rsidRDefault="00152121" w:rsidP="00FE14EA">
            <w:pPr>
              <w:rPr>
                <w:rFonts w:eastAsia="Aptos" w:cs="Aptos"/>
                <w:i/>
                <w:highlight w:val="yellow"/>
              </w:rPr>
            </w:pPr>
            <w:r w:rsidRPr="00152121">
              <w:rPr>
                <w:color w:val="000000"/>
              </w:rPr>
              <w:t>11. INVITA a la Red de Cultura de Ramsar a que, con el asesoramiento de la Secretaría según proceda, investigue opciones para desarrollar un programa de trabajo específico relacionado con la cultura en apoyo de los objetivos pertinentes definidos en el Quinto Plan Estratégico de la Convención</w:t>
            </w:r>
          </w:p>
        </w:tc>
        <w:tc>
          <w:tcPr>
            <w:tcW w:w="1843" w:type="dxa"/>
          </w:tcPr>
          <w:p w14:paraId="33442CC0" w14:textId="5631D9BB" w:rsidR="004E211D" w:rsidRPr="00A87236" w:rsidRDefault="004E211D" w:rsidP="00962291">
            <w:pPr>
              <w:rPr>
                <w:rFonts w:eastAsia="Aptos" w:cs="Aptos"/>
              </w:rPr>
            </w:pPr>
            <w:r w:rsidRPr="00A87236">
              <w:rPr>
                <w:rFonts w:eastAsia="Aptos" w:cs="Aptos"/>
              </w:rPr>
              <w:t>Medium</w:t>
            </w:r>
          </w:p>
        </w:tc>
      </w:tr>
      <w:tr w:rsidR="004E211D" w:rsidRPr="00A87236" w14:paraId="468CE599" w14:textId="41342911" w:rsidTr="00962291">
        <w:trPr>
          <w:trHeight w:val="300"/>
        </w:trPr>
        <w:tc>
          <w:tcPr>
            <w:tcW w:w="2755" w:type="dxa"/>
          </w:tcPr>
          <w:p w14:paraId="5ABD35F6" w14:textId="3A769B00" w:rsidR="004E211D" w:rsidRPr="00F41C3A" w:rsidRDefault="00F41C3A" w:rsidP="00962291">
            <w:pPr>
              <w:rPr>
                <w:b/>
              </w:rPr>
            </w:pPr>
            <w:r w:rsidRPr="00F41C3A">
              <w:rPr>
                <w:rFonts w:eastAsia="Aptos" w:cs="Aptos"/>
                <w:b/>
              </w:rPr>
              <w:t>CECoP</w:t>
            </w:r>
          </w:p>
          <w:p w14:paraId="7EDC4A88" w14:textId="3CA0D1AE" w:rsidR="004E211D" w:rsidRPr="00A87236" w:rsidRDefault="004E211D" w:rsidP="00962291">
            <w:pPr>
              <w:rPr>
                <w:rFonts w:eastAsia="Aptos" w:cs="Aptos"/>
                <w:highlight w:val="yellow"/>
              </w:rPr>
            </w:pPr>
          </w:p>
          <w:p w14:paraId="1E16AC29" w14:textId="016F270B" w:rsidR="00F41C3A" w:rsidRPr="00F41C3A" w:rsidRDefault="004E211D" w:rsidP="00F41C3A">
            <w:pPr>
              <w:rPr>
                <w:rFonts w:eastAsia="Aptos" w:cs="Aptos"/>
              </w:rPr>
            </w:pPr>
            <w:r w:rsidRPr="00A87236">
              <w:rPr>
                <w:rFonts w:ascii="Arial" w:hAnsi="Arial" w:cs="Arial"/>
                <w:color w:val="333333"/>
                <w:highlight w:val="yellow"/>
              </w:rPr>
              <w:br/>
            </w:r>
            <w:r w:rsidRPr="00F41C3A">
              <w:rPr>
                <w:rFonts w:ascii="Arial" w:hAnsi="Arial" w:cs="Arial"/>
                <w:color w:val="333333"/>
              </w:rPr>
              <w:t>COP15 Doc.23.6</w:t>
            </w:r>
            <w:r w:rsidRPr="00A87236">
              <w:rPr>
                <w:rFonts w:ascii="Arial" w:hAnsi="Arial" w:cs="Arial"/>
                <w:color w:val="333333"/>
                <w:highlight w:val="yellow"/>
              </w:rPr>
              <w:br/>
            </w:r>
            <w:r w:rsidR="00F41C3A" w:rsidRPr="00F41C3A">
              <w:rPr>
                <w:rFonts w:eastAsia="Aptos" w:cs="Aptos"/>
              </w:rPr>
              <w:lastRenderedPageBreak/>
              <w:t>Comunicación, fomento de capacidad, educación, concienciación y participación (CECoP):</w:t>
            </w:r>
          </w:p>
          <w:p w14:paraId="66D76467" w14:textId="77777777" w:rsidR="00F41C3A" w:rsidRPr="00F41C3A" w:rsidRDefault="00F41C3A" w:rsidP="00F41C3A">
            <w:pPr>
              <w:rPr>
                <w:rFonts w:eastAsia="Aptos" w:cs="Aptos"/>
              </w:rPr>
            </w:pPr>
          </w:p>
          <w:p w14:paraId="0098C7FF" w14:textId="7033B681" w:rsidR="004E211D" w:rsidRPr="00A87236" w:rsidRDefault="00F41C3A" w:rsidP="00F41C3A">
            <w:pPr>
              <w:rPr>
                <w:rFonts w:eastAsia="Aptos" w:cs="Aptos"/>
                <w:highlight w:val="yellow"/>
              </w:rPr>
            </w:pPr>
            <w:r w:rsidRPr="00F41C3A">
              <w:rPr>
                <w:rFonts w:eastAsia="Aptos" w:cs="Aptos"/>
              </w:rPr>
              <w:t>Proyecto de resolución sobre CECoP</w:t>
            </w:r>
          </w:p>
          <w:p w14:paraId="45308D25" w14:textId="2CD43E93" w:rsidR="00FE14EA" w:rsidRDefault="00F41C3A" w:rsidP="00962291">
            <w:pPr>
              <w:rPr>
                <w:rStyle w:val="Hyperlink"/>
                <w:highlight w:val="yellow"/>
              </w:rPr>
            </w:pPr>
            <w:hyperlink r:id="rId14" w:history="1">
              <w:r w:rsidRPr="00B26A86">
                <w:rPr>
                  <w:rStyle w:val="Hyperlink"/>
                </w:rPr>
                <w:t>https://www.ramsar.org/sites/default/files/2025-04/COP15_23_6_DR_cepa_s.docx</w:t>
              </w:r>
            </w:hyperlink>
            <w:r>
              <w:t xml:space="preserve"> </w:t>
            </w:r>
          </w:p>
          <w:p w14:paraId="06DA8D9C" w14:textId="66181DAD" w:rsidR="00FE14EA" w:rsidRDefault="00FE14EA" w:rsidP="00962291">
            <w:pPr>
              <w:rPr>
                <w:rFonts w:eastAsia="Aptos" w:cs="Aptos"/>
                <w:highlight w:val="yellow"/>
              </w:rPr>
            </w:pPr>
          </w:p>
          <w:p w14:paraId="4637645E" w14:textId="77777777" w:rsidR="00FE14EA" w:rsidRDefault="00FE14EA" w:rsidP="00962291">
            <w:pPr>
              <w:rPr>
                <w:rFonts w:eastAsia="Aptos" w:cs="Aptos"/>
                <w:highlight w:val="yellow"/>
              </w:rPr>
            </w:pPr>
          </w:p>
          <w:p w14:paraId="3E1CFBE7" w14:textId="77777777" w:rsidR="00FE14EA" w:rsidRDefault="00FE14EA" w:rsidP="00962291">
            <w:pPr>
              <w:rPr>
                <w:rFonts w:eastAsia="Aptos" w:cs="Aptos"/>
                <w:highlight w:val="yellow"/>
              </w:rPr>
            </w:pPr>
          </w:p>
          <w:p w14:paraId="789C34DF" w14:textId="6E810134" w:rsidR="00FE14EA" w:rsidRPr="00A87236" w:rsidRDefault="00FE14EA" w:rsidP="00962291">
            <w:pPr>
              <w:rPr>
                <w:rFonts w:eastAsia="Aptos" w:cs="Aptos"/>
                <w:highlight w:val="yellow"/>
              </w:rPr>
            </w:pPr>
            <w:r w:rsidRPr="00FE14EA">
              <w:rPr>
                <w:rFonts w:eastAsia="Aptos" w:cs="Aptos"/>
              </w:rPr>
              <w:t>Informe de la Presidencia del Grupo de Supervisión de las Actividades de CECoP sobre la aplicación del Programa de CECoP 2016-2024</w:t>
            </w:r>
            <w:r>
              <w:rPr>
                <w:rFonts w:eastAsia="Aptos" w:cs="Aptos"/>
              </w:rPr>
              <w:br/>
            </w:r>
            <w:r>
              <w:t xml:space="preserve"> </w:t>
            </w:r>
            <w:hyperlink r:id="rId15" w:history="1">
              <w:r>
                <w:rPr>
                  <w:rStyle w:val="Hyperlink"/>
                </w:rPr>
                <w:t>COP15_10_CEPA_OP_Chair_report_s.docx</w:t>
              </w:r>
            </w:hyperlink>
          </w:p>
        </w:tc>
        <w:tc>
          <w:tcPr>
            <w:tcW w:w="9289" w:type="dxa"/>
          </w:tcPr>
          <w:p w14:paraId="4D299684" w14:textId="4801D177" w:rsidR="004E211D" w:rsidRPr="00A87236" w:rsidRDefault="00F41C3A" w:rsidP="00962291">
            <w:pPr>
              <w:rPr>
                <w:rFonts w:eastAsia="Aptos" w:cs="Aptos"/>
                <w:highlight w:val="yellow"/>
              </w:rPr>
            </w:pPr>
            <w:r w:rsidRPr="00F41C3A">
              <w:rPr>
                <w:rFonts w:eastAsia="Aptos" w:cs="Aptos"/>
              </w:rPr>
              <w:lastRenderedPageBreak/>
              <w:t xml:space="preserve">Los miembros del comité de la WWN forman parte del panel de supervisión de la CECoP, por lo que han participado. </w:t>
            </w:r>
          </w:p>
          <w:p w14:paraId="3D75CF32" w14:textId="77777777" w:rsidR="005063A4" w:rsidRDefault="005063A4" w:rsidP="00962291">
            <w:pPr>
              <w:rPr>
                <w:rFonts w:eastAsia="Aptos" w:cs="Aptos"/>
                <w:i/>
                <w:highlight w:val="yellow"/>
              </w:rPr>
            </w:pPr>
            <w:r w:rsidRPr="005063A4">
              <w:rPr>
                <w:rFonts w:eastAsia="Aptos" w:cs="Aptos"/>
                <w:i/>
              </w:rPr>
              <w:t xml:space="preserve">El Programa de comunicación, educación, concienciación y participación (CECoP) de la Convención sobre los Humedales es un instrumento para orientar a las Partes </w:t>
            </w:r>
            <w:r w:rsidRPr="005063A4">
              <w:rPr>
                <w:rFonts w:eastAsia="Aptos" w:cs="Aptos"/>
                <w:i/>
              </w:rPr>
              <w:lastRenderedPageBreak/>
              <w:t>Contratantes, la Secretaría de la Convención, las Organizaciones Internacionales Asociadas (OIA) a la Convención, las ONG, las organizaciones comunitarias y otros interesados, acerca de medidas adecuadas para obtener el compromiso y la cooperación de las personas y permitirles actuar en pro de la conservación y el uso racional de los humedales</w:t>
            </w:r>
            <w:r w:rsidRPr="005063A4">
              <w:rPr>
                <w:rFonts w:eastAsia="Aptos" w:cs="Aptos"/>
                <w:i/>
                <w:highlight w:val="yellow"/>
              </w:rPr>
              <w:t xml:space="preserve"> </w:t>
            </w:r>
          </w:p>
          <w:p w14:paraId="22916866" w14:textId="7FE87593" w:rsidR="005063A4" w:rsidRDefault="005063A4" w:rsidP="00962291">
            <w:pPr>
              <w:rPr>
                <w:rFonts w:eastAsia="Aptos" w:cs="Aptos"/>
                <w:i/>
                <w:highlight w:val="yellow"/>
              </w:rPr>
            </w:pPr>
            <w:r w:rsidRPr="005063A4">
              <w:rPr>
                <w:rFonts w:eastAsia="Aptos" w:cs="Aptos"/>
                <w:i/>
              </w:rPr>
              <w:t>Cada Parte Contratante ha de designar un/una coordinador/a gubernamental de CECoP y un/una coordinador/a no gubernamental de CECoP. El/La coordinador/a gubernamental de CECoP se ocupa de encabezar el Programa de CECoP en el plano nacional y actúa como punto de contacto en cuestiones relacionadas con la CECoP entre la Parte Contratante y la Secretaría. El/La coordinador/a no gubernamental de CECoP colabora con la comunidad de las ONG y puede ayudar a movilizar a la comunidad de las ONG en apoyo de los objetivos de CECoP.</w:t>
            </w:r>
          </w:p>
          <w:p w14:paraId="3394D0D6" w14:textId="77777777" w:rsidR="005063A4" w:rsidRDefault="005063A4" w:rsidP="00962291">
            <w:pPr>
              <w:rPr>
                <w:rFonts w:eastAsia="Aptos" w:cs="Aptos"/>
                <w:i/>
                <w:highlight w:val="yellow"/>
              </w:rPr>
            </w:pPr>
          </w:p>
          <w:p w14:paraId="4195D101" w14:textId="77777777" w:rsidR="005063A4" w:rsidRPr="005063A4" w:rsidRDefault="005063A4" w:rsidP="005063A4">
            <w:pPr>
              <w:rPr>
                <w:rFonts w:eastAsia="Aptos" w:cs="Aptos"/>
                <w:i/>
              </w:rPr>
            </w:pPr>
            <w:r w:rsidRPr="005063A4">
              <w:rPr>
                <w:rFonts w:eastAsia="Aptos" w:cs="Aptos"/>
                <w:i/>
              </w:rPr>
              <w:t>· expresar la voz de la comunidad de las ONG en la elaboración y ejecución de un plan de acción de CECoP sobre los humedales al nivel adecuado (nacional, subnacional o local);</w:t>
            </w:r>
          </w:p>
          <w:p w14:paraId="2B7FDCB8" w14:textId="77777777" w:rsidR="005063A4" w:rsidRPr="005063A4" w:rsidRDefault="005063A4" w:rsidP="005063A4">
            <w:pPr>
              <w:rPr>
                <w:rFonts w:eastAsia="Aptos" w:cs="Aptos"/>
                <w:i/>
              </w:rPr>
            </w:pPr>
          </w:p>
          <w:p w14:paraId="63435203" w14:textId="77777777" w:rsidR="005063A4" w:rsidRPr="005063A4" w:rsidRDefault="005063A4" w:rsidP="005063A4">
            <w:pPr>
              <w:rPr>
                <w:rFonts w:eastAsia="Aptos" w:cs="Aptos"/>
                <w:i/>
              </w:rPr>
            </w:pPr>
            <w:r w:rsidRPr="005063A4">
              <w:rPr>
                <w:rFonts w:eastAsia="Aptos" w:cs="Aptos"/>
                <w:i/>
              </w:rPr>
              <w:t>· actuar como punto de contacto entre el/la coordinador/a gubernamental de CECoP y la comunidad de las ONG;</w:t>
            </w:r>
          </w:p>
          <w:p w14:paraId="28AE2EC2" w14:textId="77777777" w:rsidR="005063A4" w:rsidRPr="005063A4" w:rsidRDefault="005063A4" w:rsidP="005063A4">
            <w:pPr>
              <w:rPr>
                <w:rFonts w:eastAsia="Aptos" w:cs="Aptos"/>
                <w:i/>
              </w:rPr>
            </w:pPr>
          </w:p>
          <w:p w14:paraId="3D449102" w14:textId="77777777" w:rsidR="005063A4" w:rsidRPr="005063A4" w:rsidRDefault="005063A4" w:rsidP="005063A4">
            <w:pPr>
              <w:rPr>
                <w:rFonts w:eastAsia="Aptos" w:cs="Aptos"/>
                <w:i/>
              </w:rPr>
            </w:pPr>
            <w:r w:rsidRPr="005063A4">
              <w:rPr>
                <w:rFonts w:eastAsia="Aptos" w:cs="Aptos"/>
                <w:i/>
              </w:rPr>
              <w:t>· prestar asistencia para movilizar a la comunidad de las ONG en apoyo de las actividades de CECoP en el ámbito de los humedales, lo que incluye apoyar el Día Mundial de los Humedales;</w:t>
            </w:r>
          </w:p>
          <w:p w14:paraId="0A7BCCFA" w14:textId="77777777" w:rsidR="005063A4" w:rsidRPr="005063A4" w:rsidRDefault="005063A4" w:rsidP="005063A4">
            <w:pPr>
              <w:rPr>
                <w:rFonts w:eastAsia="Aptos" w:cs="Aptos"/>
                <w:i/>
              </w:rPr>
            </w:pPr>
          </w:p>
          <w:p w14:paraId="4A733EBA" w14:textId="77777777" w:rsidR="005063A4" w:rsidRPr="005063A4" w:rsidRDefault="005063A4" w:rsidP="005063A4">
            <w:pPr>
              <w:rPr>
                <w:rFonts w:eastAsia="Aptos" w:cs="Aptos"/>
                <w:i/>
              </w:rPr>
            </w:pPr>
            <w:r w:rsidRPr="005063A4">
              <w:rPr>
                <w:rFonts w:eastAsia="Aptos" w:cs="Aptos"/>
                <w:i/>
              </w:rPr>
              <w:t>· ser integrantes clave de los Comités Nacionales de Ramsar o de Humedales (si existen dichos órganos) o estructuras nacionales similares; y</w:t>
            </w:r>
          </w:p>
          <w:p w14:paraId="423A5058" w14:textId="77777777" w:rsidR="005063A4" w:rsidRPr="005063A4" w:rsidRDefault="005063A4" w:rsidP="005063A4">
            <w:pPr>
              <w:rPr>
                <w:rFonts w:eastAsia="Aptos" w:cs="Aptos"/>
                <w:i/>
              </w:rPr>
            </w:pPr>
          </w:p>
          <w:p w14:paraId="1A213D2A" w14:textId="48C9A615" w:rsidR="005063A4" w:rsidRPr="005063A4" w:rsidRDefault="005063A4" w:rsidP="005063A4">
            <w:pPr>
              <w:rPr>
                <w:rFonts w:ascii="Aptos" w:eastAsia="Aptos" w:hAnsi="Aptos" w:cs="Aptos"/>
                <w:i/>
              </w:rPr>
            </w:pPr>
            <w:r w:rsidRPr="005063A4">
              <w:rPr>
                <w:rFonts w:eastAsia="Aptos" w:cs="Aptos"/>
                <w:i/>
              </w:rPr>
              <w:t>· ser portavoces activos de las actividades de CECoP en el ámbito de los humedales.</w:t>
            </w:r>
            <w:r>
              <w:rPr>
                <w:rFonts w:eastAsia="Aptos" w:cs="Aptos"/>
                <w:i/>
              </w:rPr>
              <w:br/>
            </w:r>
            <w:r>
              <w:rPr>
                <w:rFonts w:eastAsia="Aptos" w:cs="Aptos"/>
                <w:i/>
              </w:rPr>
              <w:br/>
            </w:r>
            <w:r>
              <w:t xml:space="preserve"> </w:t>
            </w:r>
            <w:r w:rsidRPr="005063A4">
              <w:rPr>
                <w:rFonts w:ascii="Aptos" w:eastAsia="Aptos" w:hAnsi="Aptos" w:cs="Aptos"/>
                <w:i/>
              </w:rPr>
              <w:t>El Grupo deberá estar integrado</w:t>
            </w:r>
            <w:r>
              <w:rPr>
                <w:rFonts w:ascii="Aptos" w:eastAsia="Aptos" w:hAnsi="Aptos" w:cs="Aptos"/>
                <w:i/>
              </w:rPr>
              <w:t xml:space="preserve"> por los siguientes miembros:</w:t>
            </w:r>
          </w:p>
          <w:p w14:paraId="083432C0" w14:textId="77777777" w:rsidR="005063A4" w:rsidRPr="005063A4" w:rsidRDefault="005063A4" w:rsidP="005063A4">
            <w:pPr>
              <w:rPr>
                <w:rFonts w:ascii="Aptos" w:eastAsia="Aptos" w:hAnsi="Aptos" w:cs="Aptos"/>
                <w:i/>
              </w:rPr>
            </w:pPr>
          </w:p>
          <w:p w14:paraId="1356192C" w14:textId="5B5EF46F" w:rsidR="005063A4" w:rsidRPr="005063A4" w:rsidRDefault="005063A4" w:rsidP="005063A4">
            <w:pPr>
              <w:rPr>
                <w:rFonts w:ascii="Aptos" w:eastAsia="Aptos" w:hAnsi="Aptos" w:cs="Aptos"/>
                <w:i/>
              </w:rPr>
            </w:pPr>
            <w:r>
              <w:rPr>
                <w:rFonts w:ascii="Aptos" w:eastAsia="Aptos" w:hAnsi="Aptos" w:cs="Aptos"/>
                <w:i/>
              </w:rPr>
              <w:lastRenderedPageBreak/>
              <w:t>…</w:t>
            </w:r>
          </w:p>
          <w:p w14:paraId="69106A33" w14:textId="77777777" w:rsidR="005063A4" w:rsidRPr="005063A4" w:rsidRDefault="005063A4" w:rsidP="005063A4">
            <w:pPr>
              <w:rPr>
                <w:rFonts w:ascii="Aptos" w:eastAsia="Aptos" w:hAnsi="Aptos" w:cs="Aptos"/>
                <w:i/>
              </w:rPr>
            </w:pPr>
          </w:p>
          <w:p w14:paraId="35C70FBA" w14:textId="77777777" w:rsidR="005063A4" w:rsidRPr="005063A4" w:rsidRDefault="005063A4" w:rsidP="005063A4">
            <w:pPr>
              <w:rPr>
                <w:rFonts w:ascii="Aptos" w:eastAsia="Aptos" w:hAnsi="Aptos" w:cs="Aptos"/>
                <w:i/>
              </w:rPr>
            </w:pPr>
            <w:r w:rsidRPr="005063A4">
              <w:rPr>
                <w:rFonts w:ascii="Aptos" w:eastAsia="Aptos" w:hAnsi="Aptos" w:cs="Aptos"/>
                <w:i/>
              </w:rPr>
              <w:t>v. Un/Una representante de las Organizaciones Internacionales Asociadas, a quien se selecciona para que actúe de enlace entre el Grupo y las seis OIA;</w:t>
            </w:r>
          </w:p>
          <w:p w14:paraId="30B32D4F" w14:textId="77777777" w:rsidR="005063A4" w:rsidRPr="005063A4" w:rsidRDefault="005063A4" w:rsidP="005063A4">
            <w:pPr>
              <w:rPr>
                <w:rFonts w:ascii="Aptos" w:eastAsia="Aptos" w:hAnsi="Aptos" w:cs="Aptos"/>
                <w:i/>
              </w:rPr>
            </w:pPr>
          </w:p>
          <w:p w14:paraId="64DE0843" w14:textId="77777777" w:rsidR="005063A4" w:rsidRPr="005063A4" w:rsidRDefault="005063A4" w:rsidP="005063A4">
            <w:pPr>
              <w:rPr>
                <w:rFonts w:ascii="Aptos" w:eastAsia="Aptos" w:hAnsi="Aptos" w:cs="Aptos"/>
                <w:i/>
              </w:rPr>
            </w:pPr>
            <w:r w:rsidRPr="005063A4">
              <w:rPr>
                <w:rFonts w:ascii="Aptos" w:eastAsia="Aptos" w:hAnsi="Aptos" w:cs="Aptos"/>
                <w:i/>
              </w:rPr>
              <w:t>vi. Un/Una representante de la juventud;</w:t>
            </w:r>
          </w:p>
          <w:p w14:paraId="34EFE701" w14:textId="77777777" w:rsidR="005063A4" w:rsidRPr="005063A4" w:rsidRDefault="005063A4" w:rsidP="005063A4">
            <w:pPr>
              <w:rPr>
                <w:rFonts w:ascii="Aptos" w:eastAsia="Aptos" w:hAnsi="Aptos" w:cs="Aptos"/>
                <w:i/>
              </w:rPr>
            </w:pPr>
          </w:p>
          <w:p w14:paraId="727DE415" w14:textId="77777777" w:rsidR="005063A4" w:rsidRPr="005063A4" w:rsidRDefault="005063A4" w:rsidP="005063A4">
            <w:pPr>
              <w:rPr>
                <w:rFonts w:ascii="Aptos" w:eastAsia="Aptos" w:hAnsi="Aptos" w:cs="Aptos"/>
                <w:i/>
              </w:rPr>
            </w:pPr>
            <w:r w:rsidRPr="005063A4">
              <w:rPr>
                <w:rFonts w:ascii="Aptos" w:eastAsia="Aptos" w:hAnsi="Aptos" w:cs="Aptos"/>
                <w:i/>
              </w:rPr>
              <w:t>vii. Un/Una representante de los Pueblos Indígenas;</w:t>
            </w:r>
          </w:p>
          <w:p w14:paraId="62A3E7D9" w14:textId="77777777" w:rsidR="005063A4" w:rsidRPr="005063A4" w:rsidRDefault="005063A4" w:rsidP="005063A4">
            <w:pPr>
              <w:rPr>
                <w:rFonts w:ascii="Aptos" w:eastAsia="Aptos" w:hAnsi="Aptos" w:cs="Aptos"/>
                <w:i/>
              </w:rPr>
            </w:pPr>
          </w:p>
          <w:p w14:paraId="7FBCF658" w14:textId="145709E7" w:rsidR="004E211D" w:rsidRPr="005063A4" w:rsidRDefault="005063A4" w:rsidP="005063A4">
            <w:pPr>
              <w:rPr>
                <w:rFonts w:ascii="Aptos" w:eastAsia="Aptos" w:hAnsi="Aptos" w:cs="Aptos"/>
                <w:i/>
              </w:rPr>
            </w:pPr>
            <w:r w:rsidRPr="005063A4">
              <w:rPr>
                <w:rFonts w:ascii="Aptos" w:eastAsia="Aptos" w:hAnsi="Aptos" w:cs="Aptos"/>
                <w:i/>
              </w:rPr>
              <w:t xml:space="preserve">viii. Partes Contratantes (una por región, de manera independiente de cualquier representación regional de los miembros indicados anteriormente); </w:t>
            </w:r>
            <w:r>
              <w:rPr>
                <w:rFonts w:ascii="Aptos" w:eastAsia="Aptos" w:hAnsi="Aptos" w:cs="Aptos"/>
                <w:i/>
              </w:rPr>
              <w:t xml:space="preserve">… </w:t>
            </w:r>
          </w:p>
        </w:tc>
        <w:tc>
          <w:tcPr>
            <w:tcW w:w="1843" w:type="dxa"/>
          </w:tcPr>
          <w:p w14:paraId="1C49914B" w14:textId="2F4E2252" w:rsidR="004E211D" w:rsidRPr="00A87236" w:rsidRDefault="004E211D" w:rsidP="00962291">
            <w:pPr>
              <w:rPr>
                <w:rFonts w:eastAsia="Aptos" w:cs="Aptos"/>
              </w:rPr>
            </w:pPr>
            <w:r w:rsidRPr="00A87236">
              <w:rPr>
                <w:rFonts w:eastAsia="Aptos" w:cs="Aptos"/>
              </w:rPr>
              <w:lastRenderedPageBreak/>
              <w:t>High</w:t>
            </w:r>
          </w:p>
        </w:tc>
      </w:tr>
      <w:tr w:rsidR="004E211D" w:rsidRPr="00A87236" w14:paraId="2B2421B4" w14:textId="4D289787" w:rsidTr="00962291">
        <w:trPr>
          <w:trHeight w:val="300"/>
        </w:trPr>
        <w:tc>
          <w:tcPr>
            <w:tcW w:w="2755" w:type="dxa"/>
          </w:tcPr>
          <w:p w14:paraId="3D3B3340" w14:textId="0D1D0C57" w:rsidR="004E211D" w:rsidRPr="00A87236" w:rsidRDefault="003478A2" w:rsidP="00962291">
            <w:pPr>
              <w:rPr>
                <w:rFonts w:eastAsia="Aptos" w:cs="Aptos"/>
                <w:highlight w:val="yellow"/>
              </w:rPr>
            </w:pPr>
            <w:r w:rsidRPr="003478A2">
              <w:lastRenderedPageBreak/>
              <w:t>Proyecto de resolución sobre la mejora de la visibilidad de la Convención y las sinergias con otros acuerdos multilaterales sobre el medio ambiente e instituciones internacionales</w:t>
            </w:r>
          </w:p>
          <w:p w14:paraId="4A319374" w14:textId="2A0C92E9" w:rsidR="004E211D" w:rsidRPr="00A87236" w:rsidRDefault="004E211D" w:rsidP="00962291">
            <w:pPr>
              <w:rPr>
                <w:rFonts w:eastAsia="Aptos" w:cs="Aptos"/>
                <w:highlight w:val="yellow"/>
              </w:rPr>
            </w:pPr>
            <w:r w:rsidRPr="00A87236">
              <w:rPr>
                <w:highlight w:val="yellow"/>
              </w:rPr>
              <w:t xml:space="preserve"> </w:t>
            </w:r>
            <w:r w:rsidR="0014768F">
              <w:t xml:space="preserve"> </w:t>
            </w:r>
            <w:hyperlink r:id="rId16" w:history="1">
              <w:r w:rsidR="0014768F" w:rsidRPr="00B26A86">
                <w:rPr>
                  <w:rStyle w:val="Hyperlink"/>
                </w:rPr>
                <w:t>https://www.ramsar.org/sites/default/files/2025-04/COP15_23_4_DR_synergies_e.docx</w:t>
              </w:r>
            </w:hyperlink>
            <w:r w:rsidR="0014768F">
              <w:t xml:space="preserve"> </w:t>
            </w:r>
          </w:p>
        </w:tc>
        <w:tc>
          <w:tcPr>
            <w:tcW w:w="9289" w:type="dxa"/>
          </w:tcPr>
          <w:p w14:paraId="3ED6864B" w14:textId="1295424F" w:rsidR="004E211D" w:rsidRPr="00A87236" w:rsidRDefault="003478A2" w:rsidP="00962291">
            <w:pPr>
              <w:rPr>
                <w:rFonts w:eastAsia="Aptos" w:cs="Aptos"/>
                <w:highlight w:val="yellow"/>
              </w:rPr>
            </w:pPr>
            <w:r w:rsidRPr="003478A2">
              <w:rPr>
                <w:rFonts w:eastAsia="Aptos" w:cs="Aptos"/>
              </w:rPr>
              <w:t xml:space="preserve">Menciona «El Convenio del Agua», Convenio sobre la Protección y Utilización de los Cursos de Agua Transfronterizos y de los Lagos Internacionales, Helsinki, 17 de marzo de 1992. https://treaties.un.org/pages/viewdetails.aspx?src=treaty&amp;mtdsg_no=xxvii-5&amp;chapter=27&amp;clang=_en </w:t>
            </w:r>
            <w:r w:rsidR="004E211D" w:rsidRPr="003478A2">
              <w:rPr>
                <w:rFonts w:eastAsia="Aptos" w:cs="Aptos"/>
              </w:rPr>
              <w:t xml:space="preserve"> </w:t>
            </w:r>
          </w:p>
          <w:p w14:paraId="06926B5B" w14:textId="0435D8B9" w:rsidR="004E211D" w:rsidRPr="00A87236" w:rsidRDefault="004E211D" w:rsidP="00962291">
            <w:pPr>
              <w:rPr>
                <w:highlight w:val="yellow"/>
              </w:rPr>
            </w:pPr>
          </w:p>
          <w:p w14:paraId="20C7DC4B" w14:textId="77777777" w:rsidR="004E211D" w:rsidRPr="00A87236" w:rsidRDefault="004E211D" w:rsidP="00962291">
            <w:pPr>
              <w:rPr>
                <w:highlight w:val="yellow"/>
              </w:rPr>
            </w:pPr>
          </w:p>
          <w:p w14:paraId="7D89092A" w14:textId="7DFBB582" w:rsidR="004E211D" w:rsidRPr="00A87236" w:rsidRDefault="004E211D" w:rsidP="00962291">
            <w:pPr>
              <w:rPr>
                <w:rFonts w:eastAsia="Aptos" w:cs="Aptos"/>
                <w:highlight w:val="yellow"/>
              </w:rPr>
            </w:pPr>
          </w:p>
        </w:tc>
        <w:tc>
          <w:tcPr>
            <w:tcW w:w="1843" w:type="dxa"/>
          </w:tcPr>
          <w:p w14:paraId="28E3BB48" w14:textId="08742BA0" w:rsidR="004E211D" w:rsidRPr="00A87236" w:rsidRDefault="004E211D" w:rsidP="00962291">
            <w:pPr>
              <w:rPr>
                <w:rFonts w:eastAsia="Aptos" w:cs="Aptos"/>
              </w:rPr>
            </w:pPr>
            <w:r w:rsidRPr="00A87236">
              <w:rPr>
                <w:rFonts w:eastAsia="Aptos" w:cs="Aptos"/>
              </w:rPr>
              <w:t>Medium</w:t>
            </w:r>
          </w:p>
        </w:tc>
      </w:tr>
      <w:tr w:rsidR="004E211D" w:rsidRPr="00A87236" w14:paraId="41EE2C96" w14:textId="77777777" w:rsidTr="00962291">
        <w:trPr>
          <w:trHeight w:val="300"/>
        </w:trPr>
        <w:tc>
          <w:tcPr>
            <w:tcW w:w="2755" w:type="dxa"/>
          </w:tcPr>
          <w:p w14:paraId="7B6AF7FB" w14:textId="6E97A398" w:rsidR="004E211D" w:rsidRPr="00A87236" w:rsidRDefault="004E211D" w:rsidP="00962291">
            <w:r w:rsidRPr="00A87236">
              <w:t>Update of the Secretariat on the implementation of Resolution XIV.20</w:t>
            </w:r>
          </w:p>
          <w:p w14:paraId="4A6BF67A" w14:textId="7D773EF9" w:rsidR="004E211D" w:rsidRPr="00A87236" w:rsidRDefault="004E211D" w:rsidP="00962291">
            <w:r w:rsidRPr="00A87236">
              <w:t>(Russia/Ukraine)</w:t>
            </w:r>
          </w:p>
          <w:p w14:paraId="60051EC0" w14:textId="2729123F" w:rsidR="004E211D" w:rsidRPr="00A87236" w:rsidRDefault="00B96C92" w:rsidP="00962291">
            <w:pPr>
              <w:rPr>
                <w:rFonts w:eastAsia="Aptos" w:cs="Aptos"/>
              </w:rPr>
            </w:pPr>
            <w:hyperlink r:id="rId17" w:history="1">
              <w:r w:rsidR="004E211D" w:rsidRPr="00A87236">
                <w:rPr>
                  <w:rStyle w:val="Hyperlink"/>
                </w:rPr>
                <w:t>SC64_28_implementation_ResXIV20_e.pdf</w:t>
              </w:r>
            </w:hyperlink>
            <w:r w:rsidR="004E211D" w:rsidRPr="00A87236">
              <w:t xml:space="preserve"> </w:t>
            </w:r>
          </w:p>
          <w:p w14:paraId="25FBB88B" w14:textId="77777777" w:rsidR="004E211D" w:rsidRPr="00A87236" w:rsidRDefault="004E211D" w:rsidP="00962291">
            <w:pPr>
              <w:rPr>
                <w:rFonts w:eastAsia="Aptos" w:cs="Aptos"/>
              </w:rPr>
            </w:pPr>
          </w:p>
          <w:p w14:paraId="28D36B3E" w14:textId="51B84A00" w:rsidR="004E211D" w:rsidRPr="00A87236" w:rsidRDefault="004E211D" w:rsidP="00962291">
            <w:pPr>
              <w:rPr>
                <w:rFonts w:eastAsia="Aptos" w:cs="Aptos"/>
              </w:rPr>
            </w:pPr>
          </w:p>
        </w:tc>
        <w:tc>
          <w:tcPr>
            <w:tcW w:w="9289" w:type="dxa"/>
          </w:tcPr>
          <w:p w14:paraId="6033C250" w14:textId="6776B899" w:rsidR="004E211D" w:rsidRPr="00A87236" w:rsidRDefault="005F7006" w:rsidP="00962291">
            <w:pPr>
              <w:rPr>
                <w:rFonts w:eastAsia="Aptos" w:cs="Aptos"/>
              </w:rPr>
            </w:pPr>
            <w:r w:rsidRPr="00A87236">
              <w:rPr>
                <w:rFonts w:eastAsia="Aptos" w:cs="Aptos"/>
                <w:b/>
                <w:bCs/>
                <w:i/>
                <w:iCs/>
              </w:rPr>
              <w:lastRenderedPageBreak/>
              <w:t xml:space="preserve">Pertinencia de la WWN </w:t>
            </w:r>
            <w:r w:rsidRPr="00A87236">
              <w:rPr>
                <w:rFonts w:eastAsia="Aptos" w:cs="Aptos"/>
                <w:bCs/>
                <w:i/>
                <w:iCs/>
              </w:rPr>
              <w:t>(Encuesta Mundial sobre los Humedales): Para garantizar un alto grado de confianza en los datos recopilados por el equipo consultor a lo largo de la misión sobre el terreno, los datos de campo se han corroborado y triangulado con observaciones terrestres y datos recopilados mediante la realización del estudio teórico inicial.</w:t>
            </w:r>
          </w:p>
          <w:p w14:paraId="51C5ECF5" w14:textId="16E166DC" w:rsidR="004E211D" w:rsidRPr="00A87236" w:rsidRDefault="004E211D" w:rsidP="00962291">
            <w:pPr>
              <w:rPr>
                <w:rFonts w:eastAsia="Aptos" w:cs="Aptos"/>
              </w:rPr>
            </w:pPr>
          </w:p>
        </w:tc>
        <w:tc>
          <w:tcPr>
            <w:tcW w:w="1843" w:type="dxa"/>
          </w:tcPr>
          <w:p w14:paraId="1CFDF4D2" w14:textId="09491029" w:rsidR="004E211D" w:rsidRPr="00A87236" w:rsidRDefault="004E211D" w:rsidP="00962291">
            <w:pPr>
              <w:rPr>
                <w:rFonts w:eastAsia="Aptos" w:cs="Aptos"/>
              </w:rPr>
            </w:pPr>
            <w:r w:rsidRPr="00A87236">
              <w:rPr>
                <w:rFonts w:eastAsia="Aptos" w:cs="Aptos"/>
              </w:rPr>
              <w:t>Medium</w:t>
            </w:r>
          </w:p>
        </w:tc>
      </w:tr>
      <w:tr w:rsidR="004E211D" w:rsidRPr="00A87236" w14:paraId="5685CDC7" w14:textId="77777777" w:rsidTr="00962291">
        <w:trPr>
          <w:trHeight w:val="300"/>
        </w:trPr>
        <w:tc>
          <w:tcPr>
            <w:tcW w:w="2755" w:type="dxa"/>
          </w:tcPr>
          <w:p w14:paraId="10A2A8D2" w14:textId="30FB738E" w:rsidR="004E211D" w:rsidRPr="00A87236" w:rsidRDefault="005F7006" w:rsidP="005F7006">
            <w:r w:rsidRPr="00A87236">
              <w:t>Proyecto de resolución sobre [actualizaciones de] las Fichas Informativas de Ramsar</w:t>
            </w:r>
          </w:p>
          <w:p w14:paraId="53AA2769" w14:textId="4E80B12E" w:rsidR="004E211D" w:rsidRPr="00A87236" w:rsidRDefault="00B96C92" w:rsidP="00962291">
            <w:hyperlink r:id="rId18" w:history="1">
              <w:r w:rsidR="005F7006" w:rsidRPr="00A87236">
                <w:rPr>
                  <w:rStyle w:val="Hyperlink"/>
                </w:rPr>
                <w:t>COP15_23_13_DR_updates_RIS_s.docx</w:t>
              </w:r>
            </w:hyperlink>
          </w:p>
          <w:p w14:paraId="1CA02381" w14:textId="77777777" w:rsidR="004E211D" w:rsidRPr="00A87236" w:rsidRDefault="004E211D" w:rsidP="00962291"/>
          <w:p w14:paraId="4472102F" w14:textId="77777777" w:rsidR="004E211D" w:rsidRPr="00A87236" w:rsidRDefault="004E211D" w:rsidP="00962291"/>
          <w:p w14:paraId="15ADC7E1" w14:textId="77777777" w:rsidR="004E211D" w:rsidRPr="00A87236" w:rsidRDefault="004E211D" w:rsidP="00962291"/>
          <w:p w14:paraId="2C31AEFA" w14:textId="53A25543" w:rsidR="004E211D" w:rsidRPr="00A87236" w:rsidRDefault="004E211D" w:rsidP="00962291"/>
        </w:tc>
        <w:tc>
          <w:tcPr>
            <w:tcW w:w="9289" w:type="dxa"/>
          </w:tcPr>
          <w:p w14:paraId="1B4DF084" w14:textId="41DA52EE" w:rsidR="005F7006" w:rsidRPr="00A87236" w:rsidRDefault="005F7006" w:rsidP="005F7006">
            <w:pPr>
              <w:rPr>
                <w:rFonts w:eastAsia="Aptos" w:cs="Aptos"/>
                <w:i/>
              </w:rPr>
            </w:pPr>
            <w:r w:rsidRPr="00A87236">
              <w:rPr>
                <w:rFonts w:eastAsia="Aptos" w:cs="Aptos"/>
                <w:i/>
              </w:rPr>
              <w:t>12. ENCARGA a la Secretaría que [defina y recomiende al Comité Permanente medios para permitir la transferencia automatizada de datos a las FIR desde fuentes externas para campos específicos, tales como las listas de especies], [basándose en los resultados del grupo de trabajo sobre la actualización de las FIR:</w:t>
            </w:r>
          </w:p>
          <w:p w14:paraId="1DB4F722" w14:textId="77777777" w:rsidR="005F7006" w:rsidRPr="00A87236" w:rsidRDefault="005F7006" w:rsidP="005F7006">
            <w:pPr>
              <w:rPr>
                <w:rFonts w:eastAsia="Aptos" w:cs="Aptos"/>
                <w:i/>
              </w:rPr>
            </w:pPr>
            <w:r w:rsidRPr="00A87236">
              <w:rPr>
                <w:rFonts w:eastAsia="Aptos" w:cs="Aptos"/>
                <w:i/>
              </w:rPr>
              <w:t>a. Identificar y recomendar al Comité Permanente medios que permitan la transferencia automatizada de datos a las FIR desde fuentes externas para campos específicos, incluidas las listas de especies;</w:t>
            </w:r>
          </w:p>
          <w:p w14:paraId="4F01D8FA" w14:textId="56A94941" w:rsidR="005F7006" w:rsidRPr="00A87236" w:rsidRDefault="005F7006" w:rsidP="005F7006">
            <w:pPr>
              <w:rPr>
                <w:rFonts w:eastAsia="Aptos" w:cs="Aptos"/>
                <w:i/>
              </w:rPr>
            </w:pPr>
          </w:p>
          <w:p w14:paraId="7F606246" w14:textId="486CECBF" w:rsidR="005F7006" w:rsidRPr="00A87236" w:rsidRDefault="005F7006" w:rsidP="005F7006">
            <w:pPr>
              <w:rPr>
                <w:rFonts w:eastAsia="Aptos" w:cs="Aptos"/>
                <w:i/>
              </w:rPr>
            </w:pPr>
            <w:r w:rsidRPr="00A87236">
              <w:rPr>
                <w:rFonts w:eastAsia="Aptos" w:cs="Aptos"/>
                <w:i/>
              </w:rPr>
              <w:t>b. Mejorar la facilidad de uso de los formatos en línea y fuera de línea y los filtros de la base de datos para el SISR; y</w:t>
            </w:r>
          </w:p>
          <w:p w14:paraId="2FA7087F" w14:textId="77777777" w:rsidR="005F7006" w:rsidRPr="00A87236" w:rsidRDefault="005F7006" w:rsidP="005F7006">
            <w:pPr>
              <w:rPr>
                <w:rFonts w:eastAsia="Aptos" w:cs="Aptos"/>
                <w:i/>
              </w:rPr>
            </w:pPr>
          </w:p>
          <w:p w14:paraId="6FAC472E" w14:textId="74EA5E53" w:rsidR="005F7006" w:rsidRPr="00A87236" w:rsidRDefault="005F7006" w:rsidP="005F7006">
            <w:pPr>
              <w:rPr>
                <w:rFonts w:eastAsia="Aptos" w:cs="Aptos"/>
                <w:i/>
              </w:rPr>
            </w:pPr>
            <w:r w:rsidRPr="00A87236">
              <w:rPr>
                <w:rFonts w:eastAsia="Aptos" w:cs="Aptos"/>
                <w:i/>
              </w:rPr>
              <w:t>c. Permitir la carga de actualizaciones masivas de datos fuera de línea].</w:t>
            </w:r>
          </w:p>
          <w:p w14:paraId="5E317D07" w14:textId="111C35D6" w:rsidR="005F7006" w:rsidRPr="00A87236" w:rsidRDefault="005F7006" w:rsidP="005F7006">
            <w:pPr>
              <w:rPr>
                <w:rFonts w:eastAsia="Aptos" w:cs="Aptos"/>
              </w:rPr>
            </w:pPr>
          </w:p>
          <w:p w14:paraId="7AC97715" w14:textId="1626515D" w:rsidR="005F7006" w:rsidRPr="00A87236" w:rsidRDefault="005F7006" w:rsidP="005A75BE">
            <w:r w:rsidRPr="00A87236">
              <w:t>Grupo de trabajo sobre la actualización de la Ficha Informativa de Ramsar (FIR). Presidido por Australia. Posibilidad de que la WWN solicite aportaciones de la sociedad civil.</w:t>
            </w:r>
          </w:p>
          <w:p w14:paraId="09127820" w14:textId="78882DB2" w:rsidR="004E211D" w:rsidRPr="00A87236" w:rsidRDefault="004E211D" w:rsidP="005F7006">
            <w:pPr>
              <w:rPr>
                <w:rFonts w:eastAsia="Aptos" w:cs="Aptos"/>
              </w:rPr>
            </w:pPr>
          </w:p>
        </w:tc>
        <w:tc>
          <w:tcPr>
            <w:tcW w:w="1843" w:type="dxa"/>
          </w:tcPr>
          <w:p w14:paraId="3421309F" w14:textId="6E9E7A28" w:rsidR="004E211D" w:rsidRPr="00A87236" w:rsidRDefault="004E211D" w:rsidP="00962291">
            <w:pPr>
              <w:rPr>
                <w:rFonts w:eastAsia="Aptos" w:cs="Aptos"/>
              </w:rPr>
            </w:pPr>
            <w:r w:rsidRPr="00A87236">
              <w:rPr>
                <w:rFonts w:eastAsia="Aptos" w:cs="Aptos"/>
              </w:rPr>
              <w:t>Medium</w:t>
            </w:r>
          </w:p>
        </w:tc>
      </w:tr>
      <w:tr w:rsidR="004E211D" w:rsidRPr="00A87236" w14:paraId="1129F364" w14:textId="77777777" w:rsidTr="00962291">
        <w:trPr>
          <w:trHeight w:val="300"/>
        </w:trPr>
        <w:tc>
          <w:tcPr>
            <w:tcW w:w="2755" w:type="dxa"/>
          </w:tcPr>
          <w:p w14:paraId="14757997" w14:textId="135C4E9D" w:rsidR="004E211D" w:rsidRPr="00A87236" w:rsidRDefault="004E211D" w:rsidP="00962291">
            <w:r w:rsidRPr="00A87236">
              <w:t>Strategic Plan 5 DR</w:t>
            </w:r>
          </w:p>
          <w:p w14:paraId="5740A7BD" w14:textId="5DABE084" w:rsidR="004E211D" w:rsidRPr="00A87236" w:rsidRDefault="00B96C92" w:rsidP="00962291">
            <w:hyperlink r:id="rId19" w:history="1">
              <w:r w:rsidR="004E211D" w:rsidRPr="00A87236">
                <w:rPr>
                  <w:rStyle w:val="Hyperlink"/>
                </w:rPr>
                <w:t>SC64_11_SPWG_report_e.pdf</w:t>
              </w:r>
            </w:hyperlink>
          </w:p>
          <w:p w14:paraId="1FDFCA66" w14:textId="0EF2D22B" w:rsidR="004E211D" w:rsidRPr="00A87236" w:rsidRDefault="004E211D" w:rsidP="00962291"/>
        </w:tc>
        <w:tc>
          <w:tcPr>
            <w:tcW w:w="9289" w:type="dxa"/>
          </w:tcPr>
          <w:p w14:paraId="66FF6376" w14:textId="77777777" w:rsidR="004E211D" w:rsidRPr="00A87236" w:rsidRDefault="004E211D" w:rsidP="00962291">
            <w:pPr>
              <w:rPr>
                <w:rFonts w:eastAsia="Aptos" w:cs="Aptos"/>
              </w:rPr>
            </w:pPr>
          </w:p>
          <w:p w14:paraId="14B8CD12" w14:textId="40DBB54C" w:rsidR="004E211D" w:rsidRPr="00A87236" w:rsidRDefault="00A82B0F" w:rsidP="00962291">
            <w:pPr>
              <w:rPr>
                <w:rFonts w:eastAsia="Aptos" w:cs="Aptos"/>
              </w:rPr>
            </w:pPr>
            <w:r w:rsidRPr="00A87236">
              <w:rPr>
                <w:rFonts w:eastAsia="Aptos" w:cs="Aptos"/>
              </w:rPr>
              <w:t xml:space="preserve">También merece la pena revisar el Plan Estratégico saliente, SP4, que podría reutilizarse. </w:t>
            </w:r>
            <w:hyperlink r:id="rId20" w:history="1">
              <w:r w:rsidR="004E211D" w:rsidRPr="00A87236">
                <w:rPr>
                  <w:rStyle w:val="Hyperlink"/>
                </w:rPr>
                <w:t>The Fourth Ramsar Strategic Plan 2016-2024 | The Convention on Wetlands, The Convention on Wetlands</w:t>
              </w:r>
            </w:hyperlink>
            <w:r w:rsidR="004E211D" w:rsidRPr="00A87236">
              <w:t>.</w:t>
            </w:r>
          </w:p>
          <w:p w14:paraId="676478C1" w14:textId="642997DD" w:rsidR="004E211D" w:rsidRPr="00A87236" w:rsidRDefault="004E211D" w:rsidP="00962291">
            <w:pPr>
              <w:rPr>
                <w:rFonts w:eastAsia="Aptos" w:cs="Aptos"/>
              </w:rPr>
            </w:pPr>
          </w:p>
        </w:tc>
        <w:tc>
          <w:tcPr>
            <w:tcW w:w="1843" w:type="dxa"/>
          </w:tcPr>
          <w:p w14:paraId="1C16B179" w14:textId="1C8A9A31" w:rsidR="004E211D" w:rsidRPr="00A87236" w:rsidRDefault="004E211D" w:rsidP="00962291">
            <w:pPr>
              <w:rPr>
                <w:rFonts w:eastAsia="Aptos" w:cs="Aptos"/>
              </w:rPr>
            </w:pPr>
            <w:r w:rsidRPr="00A87236">
              <w:rPr>
                <w:rFonts w:eastAsia="Aptos" w:cs="Aptos"/>
              </w:rPr>
              <w:t>Med</w:t>
            </w:r>
          </w:p>
        </w:tc>
      </w:tr>
      <w:tr w:rsidR="004E211D" w:rsidRPr="00A87236" w14:paraId="32ADBBF5" w14:textId="77777777" w:rsidTr="00962291">
        <w:trPr>
          <w:trHeight w:val="2684"/>
        </w:trPr>
        <w:tc>
          <w:tcPr>
            <w:tcW w:w="2755" w:type="dxa"/>
          </w:tcPr>
          <w:p w14:paraId="3C941A8D" w14:textId="519D6EE2" w:rsidR="004E211D" w:rsidRPr="003478A2" w:rsidRDefault="003478A2" w:rsidP="00962291">
            <w:r w:rsidRPr="003478A2">
              <w:lastRenderedPageBreak/>
              <w:t>Proyecto de resolución sobre la aplicación de los Criterios 6 y 9 a los Humedales de Importancia Internacional nuevos y existentes</w:t>
            </w:r>
          </w:p>
          <w:p w14:paraId="1FB3AE3E" w14:textId="77777777" w:rsidR="003478A2" w:rsidRPr="00A87236" w:rsidRDefault="003478A2" w:rsidP="00962291">
            <w:pPr>
              <w:rPr>
                <w:highlight w:val="yellow"/>
              </w:rPr>
            </w:pPr>
          </w:p>
          <w:p w14:paraId="56B801F9" w14:textId="6DF2B80C" w:rsidR="004E211D" w:rsidRPr="00A87236" w:rsidRDefault="003478A2" w:rsidP="00962291">
            <w:pPr>
              <w:rPr>
                <w:highlight w:val="yellow"/>
              </w:rPr>
            </w:pPr>
            <w:hyperlink r:id="rId21" w:history="1">
              <w:r>
                <w:rPr>
                  <w:rStyle w:val="Hyperlink"/>
                </w:rPr>
                <w:t>COP15_23_12_DR_application_criteria_6_9_s.docx</w:t>
              </w:r>
            </w:hyperlink>
          </w:p>
        </w:tc>
        <w:tc>
          <w:tcPr>
            <w:tcW w:w="9289" w:type="dxa"/>
          </w:tcPr>
          <w:p w14:paraId="218790B4" w14:textId="77777777" w:rsidR="003478A2" w:rsidRPr="003478A2" w:rsidRDefault="003478A2" w:rsidP="003478A2">
            <w:pPr>
              <w:rPr>
                <w:rFonts w:eastAsia="Aptos" w:cs="Aptos"/>
                <w:i/>
              </w:rPr>
            </w:pPr>
            <w:r w:rsidRPr="003478A2">
              <w:rPr>
                <w:rFonts w:eastAsia="Aptos" w:cs="Aptos"/>
                <w:i/>
              </w:rPr>
              <w:t>15. PIDE a la Secretaría que, en cooperación con el GECT y los interesados directos pertinentes, establezca iniciativas de creación de capacidad destinadas a mejorar las competencias de las Partes Contratantes para aplicar los Criterios 6 y 9, y PIDE ADEMÁS al GECT que elabore orientaciones sobre la evaluación de la fiabilidad de estimaciones alternativas de población para su uso en las designaciones de sitios con arreglo al Criterio 6, garantizando la armonización con los mejores datos y metodologías científicos disponibles;</w:t>
            </w:r>
          </w:p>
          <w:p w14:paraId="68C71FA2" w14:textId="77777777" w:rsidR="003478A2" w:rsidRPr="003478A2" w:rsidRDefault="003478A2" w:rsidP="003478A2">
            <w:pPr>
              <w:rPr>
                <w:rFonts w:eastAsia="Aptos" w:cs="Aptos"/>
                <w:i/>
              </w:rPr>
            </w:pPr>
          </w:p>
          <w:p w14:paraId="6C308F3C" w14:textId="2C1C7E2E" w:rsidR="004E211D" w:rsidRPr="00A87236" w:rsidRDefault="003478A2" w:rsidP="003478A2">
            <w:pPr>
              <w:rPr>
                <w:rFonts w:eastAsia="Aptos" w:cs="Aptos"/>
                <w:i/>
                <w:iCs/>
                <w:highlight w:val="yellow"/>
              </w:rPr>
            </w:pPr>
            <w:r w:rsidRPr="003478A2">
              <w:rPr>
                <w:rFonts w:eastAsia="Aptos" w:cs="Aptos"/>
                <w:i/>
              </w:rPr>
              <w:t>17. INSTA a las Partes Contratantes a que movilicen recursos financieros para la conservación y el manejo de los humedales, en particular para los Humedales de Importancia Internacional designados con arreglo a los Criterios 6 o 9</w:t>
            </w:r>
          </w:p>
        </w:tc>
        <w:tc>
          <w:tcPr>
            <w:tcW w:w="1843" w:type="dxa"/>
          </w:tcPr>
          <w:p w14:paraId="13BC88B3" w14:textId="1CB8C844" w:rsidR="004E211D" w:rsidRPr="00A87236" w:rsidRDefault="004E211D" w:rsidP="00962291">
            <w:pPr>
              <w:rPr>
                <w:rFonts w:eastAsia="Aptos" w:cs="Aptos"/>
              </w:rPr>
            </w:pPr>
            <w:r w:rsidRPr="00A87236">
              <w:rPr>
                <w:rFonts w:eastAsia="Aptos" w:cs="Aptos"/>
              </w:rPr>
              <w:t>Low</w:t>
            </w:r>
          </w:p>
        </w:tc>
      </w:tr>
      <w:tr w:rsidR="004E211D" w:rsidRPr="00A87236" w14:paraId="4049D899" w14:textId="77777777" w:rsidTr="00962291">
        <w:trPr>
          <w:trHeight w:val="300"/>
        </w:trPr>
        <w:tc>
          <w:tcPr>
            <w:tcW w:w="2755" w:type="dxa"/>
          </w:tcPr>
          <w:p w14:paraId="547369DF" w14:textId="676F64AC" w:rsidR="004E211D" w:rsidRPr="00A87236" w:rsidRDefault="007C4A6E" w:rsidP="00962291">
            <w:pPr>
              <w:rPr>
                <w:rFonts w:eastAsia="Aptos" w:cs="Aptos"/>
              </w:rPr>
            </w:pPr>
            <w:r w:rsidRPr="00A87236">
              <w:rPr>
                <w:rFonts w:eastAsia="Aptos" w:cs="Aptos"/>
              </w:rPr>
              <w:t>Proyecto de resolución sobre el estado de los sitios incluidos en la Lista de Humedales de Importancia Internacional</w:t>
            </w:r>
          </w:p>
          <w:p w14:paraId="3776039C" w14:textId="77777777" w:rsidR="007C4A6E" w:rsidRPr="00A87236" w:rsidRDefault="007C4A6E" w:rsidP="00962291">
            <w:pPr>
              <w:rPr>
                <w:rFonts w:eastAsia="Aptos" w:cs="Aptos"/>
              </w:rPr>
            </w:pPr>
          </w:p>
          <w:p w14:paraId="13C13CBB" w14:textId="77777777" w:rsidR="004E211D" w:rsidRPr="00A87236" w:rsidRDefault="00B96C92" w:rsidP="00962291">
            <w:hyperlink r:id="rId22" w:history="1">
              <w:r w:rsidR="007C4A6E" w:rsidRPr="00A87236">
                <w:rPr>
                  <w:rStyle w:val="Hyperlink"/>
                </w:rPr>
                <w:t>COP15_23_7_DR_Status of Sites_s.docx</w:t>
              </w:r>
            </w:hyperlink>
          </w:p>
          <w:p w14:paraId="08A64FD2" w14:textId="788EA79D" w:rsidR="007C4A6E" w:rsidRPr="00A87236" w:rsidRDefault="007C4A6E" w:rsidP="00962291"/>
        </w:tc>
        <w:tc>
          <w:tcPr>
            <w:tcW w:w="9289" w:type="dxa"/>
          </w:tcPr>
          <w:p w14:paraId="12A2DC18" w14:textId="77777777" w:rsidR="005F7006" w:rsidRPr="00A87236" w:rsidRDefault="005F7006" w:rsidP="005F7006">
            <w:pPr>
              <w:rPr>
                <w:rFonts w:eastAsia="Aptos" w:cs="Aptos"/>
                <w:i/>
              </w:rPr>
            </w:pPr>
            <w:r w:rsidRPr="00A87236">
              <w:rPr>
                <w:rFonts w:eastAsia="Aptos" w:cs="Aptos"/>
                <w:i/>
              </w:rPr>
              <w:t>La Parte Contratante solicitó el desarrollo de modalidades para la prestación del apoyo técnico pertinente, en particular a los Países Menos Desarrollados.</w:t>
            </w:r>
          </w:p>
          <w:p w14:paraId="64BC7B89" w14:textId="0CE23F9E" w:rsidR="004E211D" w:rsidRPr="00A87236" w:rsidRDefault="005F7006" w:rsidP="005F7006">
            <w:pPr>
              <w:rPr>
                <w:rFonts w:eastAsia="Aptos" w:cs="Aptos"/>
              </w:rPr>
            </w:pPr>
            <w:r w:rsidRPr="00A87236">
              <w:rPr>
                <w:rFonts w:eastAsia="Aptos" w:cs="Aptos"/>
                <w:i/>
              </w:rPr>
              <w:t>12. Una Organización Internacional Asociada (OIA) acogió favorablemente el proyecto de resolución, subrayando que las OIA están dispuestas a prestar apoyo y destacando el Sistema de Alerta Roja desarrollado por la Alianza Mediterránea para los Humedales.</w:t>
            </w:r>
          </w:p>
          <w:p w14:paraId="6F50CFDA" w14:textId="77777777" w:rsidR="004E211D" w:rsidRPr="00A87236" w:rsidRDefault="004E211D" w:rsidP="00962291">
            <w:pPr>
              <w:rPr>
                <w:rFonts w:eastAsia="Aptos" w:cs="Aptos"/>
              </w:rPr>
            </w:pPr>
          </w:p>
        </w:tc>
        <w:tc>
          <w:tcPr>
            <w:tcW w:w="1843" w:type="dxa"/>
          </w:tcPr>
          <w:p w14:paraId="26EEE61F" w14:textId="0DE49E41" w:rsidR="004E211D" w:rsidRPr="00A87236" w:rsidRDefault="004E211D" w:rsidP="00962291">
            <w:pPr>
              <w:rPr>
                <w:rFonts w:eastAsia="Aptos" w:cs="Aptos"/>
              </w:rPr>
            </w:pPr>
            <w:r w:rsidRPr="00A87236">
              <w:rPr>
                <w:rFonts w:eastAsia="Aptos" w:cs="Aptos"/>
              </w:rPr>
              <w:t>Medium</w:t>
            </w:r>
          </w:p>
        </w:tc>
      </w:tr>
      <w:tr w:rsidR="004E211D" w:rsidRPr="00A87236" w14:paraId="524A8D2D" w14:textId="77777777" w:rsidTr="00962291">
        <w:trPr>
          <w:trHeight w:val="300"/>
        </w:trPr>
        <w:tc>
          <w:tcPr>
            <w:tcW w:w="2755" w:type="dxa"/>
          </w:tcPr>
          <w:p w14:paraId="7DA826CF" w14:textId="4C06B486" w:rsidR="004E211D" w:rsidRPr="00A87236" w:rsidRDefault="004E211D" w:rsidP="00962291">
            <w:r w:rsidRPr="00A87236">
              <w:t>COP15 Doc.23.11</w:t>
            </w:r>
            <w:r w:rsidRPr="00A87236">
              <w:br/>
            </w:r>
            <w:r w:rsidR="00BB0680" w:rsidRPr="00A87236">
              <w:rPr>
                <w:color w:val="000000"/>
              </w:rPr>
              <w:t xml:space="preserve">Proyecto de resolución sobre el establecimiento de la Alianza para las Estimaciones de Aves Acuáticas y la publicación de la edición de 2027 de Waterbird Population Estimates </w:t>
            </w:r>
          </w:p>
          <w:p w14:paraId="2B51CEE8" w14:textId="1C564E99" w:rsidR="004E211D" w:rsidRPr="00A87236" w:rsidRDefault="00B96C92" w:rsidP="00962291">
            <w:hyperlink r:id="rId23" w:history="1">
              <w:r w:rsidR="00BB0680" w:rsidRPr="00A87236">
                <w:rPr>
                  <w:rStyle w:val="Hyperlink"/>
                </w:rPr>
                <w:t>COP15_23_11_DR_waterbird_estimates_partnership_s.docx</w:t>
              </w:r>
            </w:hyperlink>
          </w:p>
        </w:tc>
        <w:tc>
          <w:tcPr>
            <w:tcW w:w="9289" w:type="dxa"/>
          </w:tcPr>
          <w:p w14:paraId="2864355E" w14:textId="6A0BD1A1" w:rsidR="004E211D" w:rsidRPr="00A87236" w:rsidRDefault="007C4A6E" w:rsidP="00962291">
            <w:pPr>
              <w:rPr>
                <w:rFonts w:eastAsia="Aptos" w:cs="Aptos"/>
              </w:rPr>
            </w:pPr>
            <w:r w:rsidRPr="00A87236">
              <w:rPr>
                <w:rFonts w:eastAsia="Aptos" w:cs="Aptos"/>
              </w:rPr>
              <w:lastRenderedPageBreak/>
              <w:t>Dirigido por Wetlands International, con el apoyo de BirdLife International.</w:t>
            </w:r>
          </w:p>
          <w:p w14:paraId="62760F43" w14:textId="77777777" w:rsidR="007C4A6E" w:rsidRPr="00A87236" w:rsidRDefault="007C4A6E" w:rsidP="00962291">
            <w:pPr>
              <w:rPr>
                <w:rFonts w:eastAsia="Aptos" w:cs="Aptos"/>
                <w:i/>
              </w:rPr>
            </w:pPr>
          </w:p>
          <w:p w14:paraId="5B7F9939" w14:textId="3AFFA23D" w:rsidR="004E211D" w:rsidRPr="00A87236" w:rsidRDefault="007C4A6E" w:rsidP="00962291">
            <w:pPr>
              <w:rPr>
                <w:rFonts w:eastAsia="Aptos" w:cs="Aptos"/>
                <w:i/>
              </w:rPr>
            </w:pPr>
            <w:r w:rsidRPr="00A87236">
              <w:rPr>
                <w:rFonts w:eastAsia="Aptos" w:cs="Aptos"/>
                <w:i/>
              </w:rPr>
              <w:t>Este proyecto de resolución aborda: 1) la necesidad urgente de una actualización de la WPE de las poblaciones de aves acuáticas tanto residentes como migratorias, mediante la entrega de una edición de 2027 (WPE2027); y 2) el establecimiento del WEP propuesto, que se lanzará en la 15ª reunión de la Conferencia de las Partes Contratantes (COP15) en julio de 2025, para proporcionar el apoyo continuo necesario por parte de la asociación internacional (el WEP) para coordinar y permitir actualizaciones continuas.</w:t>
            </w:r>
          </w:p>
          <w:p w14:paraId="1BA2A275" w14:textId="77777777" w:rsidR="007C4A6E" w:rsidRPr="00A87236" w:rsidRDefault="007C4A6E" w:rsidP="00962291">
            <w:pPr>
              <w:rPr>
                <w:rFonts w:eastAsia="Aptos" w:cs="Aptos"/>
                <w:i/>
              </w:rPr>
            </w:pPr>
          </w:p>
          <w:p w14:paraId="24581339" w14:textId="77777777" w:rsidR="00BB0680" w:rsidRPr="00A87236" w:rsidRDefault="00BB0680" w:rsidP="00BB0680">
            <w:pPr>
              <w:rPr>
                <w:rFonts w:eastAsia="Aptos" w:cs="Aptos"/>
                <w:i/>
                <w:iCs/>
              </w:rPr>
            </w:pPr>
            <w:r w:rsidRPr="00A87236">
              <w:rPr>
                <w:rFonts w:eastAsia="Aptos" w:cs="Aptos"/>
                <w:i/>
                <w:iCs/>
              </w:rPr>
              <w:lastRenderedPageBreak/>
              <w:t>13. DECIDE establecer la “Alianza para las Estimaciones de Aves Acuáticas” (AEAA) para garantizar que las Partes Contratantes de la Convención y otros interesados directos dispongan de información actualizada y de alta calidad sobre el tamaño y las tendencias de las poblaciones de aves acuáticas en apoyo de la misión colectiva de conservar y usar los humedales de forma racional, como se indica en el Anexo 1 de la presente resolución;</w:t>
            </w:r>
          </w:p>
          <w:p w14:paraId="61E63D3C" w14:textId="77777777" w:rsidR="00BB0680" w:rsidRPr="00A87236" w:rsidRDefault="00BB0680" w:rsidP="00BB0680">
            <w:pPr>
              <w:rPr>
                <w:rFonts w:eastAsia="Aptos" w:cs="Aptos"/>
                <w:i/>
                <w:iCs/>
              </w:rPr>
            </w:pPr>
          </w:p>
          <w:p w14:paraId="58C8043B" w14:textId="77777777" w:rsidR="00BB0680" w:rsidRPr="00A87236" w:rsidRDefault="00BB0680" w:rsidP="00BB0680">
            <w:pPr>
              <w:rPr>
                <w:rFonts w:eastAsia="Aptos" w:cs="Aptos"/>
                <w:i/>
                <w:iCs/>
              </w:rPr>
            </w:pPr>
          </w:p>
          <w:p w14:paraId="3E5992C5" w14:textId="77777777" w:rsidR="00BB0680" w:rsidRPr="00A87236" w:rsidRDefault="00BB0680" w:rsidP="00BB0680">
            <w:pPr>
              <w:rPr>
                <w:rFonts w:eastAsia="Aptos" w:cs="Aptos"/>
                <w:i/>
                <w:iCs/>
              </w:rPr>
            </w:pPr>
            <w:r w:rsidRPr="00A87236">
              <w:rPr>
                <w:rFonts w:eastAsia="Aptos" w:cs="Aptos"/>
                <w:i/>
                <w:iCs/>
              </w:rPr>
              <w:t>14. DECIDE ADEMÁS que la AEAA también analizará y evaluará las tendencias de las poblaciones a fin de brindar asesoramiento técnico pertinente a las Partes Contratantes y otros interesados directos, contribuyendo así a medidas de conservación y a la toma de decisiones basadas en pruebas;</w:t>
            </w:r>
          </w:p>
          <w:p w14:paraId="47EC1E9D" w14:textId="77777777" w:rsidR="00BB0680" w:rsidRPr="00A87236" w:rsidRDefault="00BB0680" w:rsidP="00BB0680">
            <w:pPr>
              <w:rPr>
                <w:rFonts w:eastAsia="Aptos" w:cs="Aptos"/>
                <w:i/>
                <w:iCs/>
              </w:rPr>
            </w:pPr>
          </w:p>
          <w:p w14:paraId="0D061055" w14:textId="77777777" w:rsidR="00BB0680" w:rsidRPr="00A87236" w:rsidRDefault="00BB0680" w:rsidP="00BB0680">
            <w:pPr>
              <w:rPr>
                <w:rFonts w:eastAsia="Aptos" w:cs="Aptos"/>
                <w:i/>
                <w:iCs/>
              </w:rPr>
            </w:pPr>
          </w:p>
          <w:p w14:paraId="6A45405A" w14:textId="77777777" w:rsidR="007C4A6E" w:rsidRPr="00A87236" w:rsidRDefault="007C4A6E" w:rsidP="007C4A6E">
            <w:pPr>
              <w:rPr>
                <w:rFonts w:eastAsia="Aptos" w:cs="Aptos"/>
                <w:i/>
              </w:rPr>
            </w:pPr>
            <w:r w:rsidRPr="00A87236">
              <w:rPr>
                <w:rFonts w:eastAsia="Aptos" w:cs="Aptos"/>
                <w:i/>
              </w:rPr>
              <w:t>8. La estructura de la AEAA se basará en dos aspectos fundamentales:</w:t>
            </w:r>
          </w:p>
          <w:p w14:paraId="7DC2BB3F" w14:textId="77777777" w:rsidR="007C4A6E" w:rsidRPr="00A87236" w:rsidRDefault="007C4A6E" w:rsidP="007C4A6E">
            <w:pPr>
              <w:rPr>
                <w:rFonts w:eastAsia="Aptos" w:cs="Aptos"/>
                <w:i/>
              </w:rPr>
            </w:pPr>
          </w:p>
          <w:p w14:paraId="32965813" w14:textId="77777777" w:rsidR="007C4A6E" w:rsidRPr="00A87236" w:rsidRDefault="007C4A6E" w:rsidP="007C4A6E">
            <w:pPr>
              <w:rPr>
                <w:rFonts w:eastAsia="Aptos" w:cs="Aptos"/>
                <w:i/>
              </w:rPr>
            </w:pPr>
            <w:r w:rsidRPr="00A87236">
              <w:rPr>
                <w:rFonts w:eastAsia="Aptos" w:cs="Aptos"/>
                <w:i/>
              </w:rPr>
              <w:t>· Gobernanza de la Alianza: Se creará un [Comité de Coordinación Mundial - nombre y composición por determinar] para supervisar y gestionar las actividades de la AEAA. Este comité se reunirá al menos una vez al año, elaborará un mandato y mantendrá una red de proveedores y usuarios de datos. El [Comité de Coordinación Mundial - nombre y composición por determinar] también ofrecerá actualizaciones periódicas a las Partes Contratantes sobre sus actividades e informará a las reuniones posteriores del Comité Permanente sobre los progresos realizados en la aplicación de su programa de trabajo detallado.</w:t>
            </w:r>
          </w:p>
          <w:p w14:paraId="4CBD91DD" w14:textId="77777777" w:rsidR="007C4A6E" w:rsidRPr="00A87236" w:rsidRDefault="007C4A6E" w:rsidP="007C4A6E">
            <w:pPr>
              <w:rPr>
                <w:rFonts w:eastAsia="Aptos" w:cs="Aptos"/>
                <w:i/>
              </w:rPr>
            </w:pPr>
          </w:p>
          <w:p w14:paraId="7C7B6F65" w14:textId="2A05CBDB" w:rsidR="004E211D" w:rsidRPr="00A87236" w:rsidRDefault="007C4A6E" w:rsidP="007C4A6E">
            <w:pPr>
              <w:rPr>
                <w:rFonts w:eastAsia="Aptos" w:cs="Aptos"/>
                <w:i/>
              </w:rPr>
            </w:pPr>
            <w:r w:rsidRPr="00A87236">
              <w:rPr>
                <w:rFonts w:eastAsia="Aptos" w:cs="Aptos"/>
                <w:i/>
              </w:rPr>
              <w:t xml:space="preserve">· Apoyo de Secretaría: Una secretaría específica para la AEAA, [proporcionada por Wetlands International como entidad responsable del Portal sobre Poblaciones de Aves Acuáticas </w:t>
            </w:r>
            <w:r w:rsidRPr="00A87236">
              <w:t xml:space="preserve"> </w:t>
            </w:r>
            <w:r w:rsidRPr="00A87236">
              <w:rPr>
                <w:rFonts w:eastAsia="Aptos" w:cs="Aptos"/>
                <w:i/>
              </w:rPr>
              <w:t>(WPP),] prestará su apoyo a las operaciones de la Alianza, incluidas la convocatoria de reuniones y la preparación de informes.</w:t>
            </w:r>
          </w:p>
        </w:tc>
        <w:tc>
          <w:tcPr>
            <w:tcW w:w="1843" w:type="dxa"/>
          </w:tcPr>
          <w:p w14:paraId="4BF7AE83" w14:textId="01ECD2D9" w:rsidR="004E211D" w:rsidRPr="00A87236" w:rsidRDefault="004E211D" w:rsidP="00962291">
            <w:pPr>
              <w:rPr>
                <w:rFonts w:eastAsia="Aptos" w:cs="Aptos"/>
              </w:rPr>
            </w:pPr>
            <w:r w:rsidRPr="00A87236">
              <w:rPr>
                <w:rFonts w:eastAsia="Aptos" w:cs="Aptos"/>
              </w:rPr>
              <w:lastRenderedPageBreak/>
              <w:t>Medium</w:t>
            </w:r>
          </w:p>
        </w:tc>
      </w:tr>
      <w:tr w:rsidR="004E211D" w:rsidRPr="00A87236" w14:paraId="11147160" w14:textId="77777777" w:rsidTr="00962291">
        <w:trPr>
          <w:trHeight w:val="300"/>
        </w:trPr>
        <w:tc>
          <w:tcPr>
            <w:tcW w:w="2755" w:type="dxa"/>
          </w:tcPr>
          <w:p w14:paraId="7163290A" w14:textId="77777777" w:rsidR="00B96C92" w:rsidRDefault="00B96C92" w:rsidP="00962291">
            <w:pPr>
              <w:rPr>
                <w:rFonts w:eastAsia="Aptos" w:cs="Aptos"/>
              </w:rPr>
            </w:pPr>
            <w:r w:rsidRPr="00B96C92">
              <w:rPr>
                <w:rFonts w:eastAsia="Aptos" w:cs="Aptos"/>
              </w:rPr>
              <w:t xml:space="preserve">Resolución consolidada sobre inventarios </w:t>
            </w:r>
            <w:r w:rsidRPr="00B96C92">
              <w:rPr>
                <w:rFonts w:eastAsia="Aptos" w:cs="Aptos"/>
              </w:rPr>
              <w:lastRenderedPageBreak/>
              <w:t>(documento COP15 Doc.22.3</w:t>
            </w:r>
          </w:p>
          <w:p w14:paraId="1B28F920" w14:textId="4F95F17E" w:rsidR="004E211D" w:rsidRPr="00A87236" w:rsidRDefault="00B96C92" w:rsidP="00962291">
            <w:pPr>
              <w:rPr>
                <w:rFonts w:eastAsia="Aptos" w:cs="Aptos"/>
                <w:highlight w:val="yellow"/>
              </w:rPr>
            </w:pPr>
            <w:hyperlink r:id="rId24">
              <w:r w:rsidR="004E211D" w:rsidRPr="00A87236">
                <w:rPr>
                  <w:rStyle w:val="Hyperlink"/>
                  <w:highlight w:val="yellow"/>
                </w:rPr>
                <w:t>sc64_1</w:t>
              </w:r>
              <w:r>
                <w:rPr>
                  <w:rStyle w:val="Hyperlink"/>
                  <w:highlight w:val="yellow"/>
                </w:rPr>
                <w:t>0_National_wetland_inventories_s</w:t>
              </w:r>
              <w:bookmarkStart w:id="0" w:name="_GoBack"/>
              <w:bookmarkEnd w:id="0"/>
              <w:r w:rsidR="004E211D" w:rsidRPr="00A87236">
                <w:rPr>
                  <w:rStyle w:val="Hyperlink"/>
                  <w:highlight w:val="yellow"/>
                </w:rPr>
                <w:t>.pdf</w:t>
              </w:r>
            </w:hyperlink>
          </w:p>
          <w:p w14:paraId="0DE9FF7E" w14:textId="77777777" w:rsidR="004E211D" w:rsidRPr="00A87236" w:rsidRDefault="004E211D" w:rsidP="00962291">
            <w:pPr>
              <w:rPr>
                <w:rFonts w:eastAsia="Aptos" w:cs="Aptos"/>
                <w:highlight w:val="yellow"/>
              </w:rPr>
            </w:pPr>
          </w:p>
          <w:p w14:paraId="6400FCE3" w14:textId="4F79E291" w:rsidR="004E211D" w:rsidRPr="00A87236" w:rsidRDefault="004E211D" w:rsidP="00962291">
            <w:pPr>
              <w:rPr>
                <w:highlight w:val="yellow"/>
              </w:rPr>
            </w:pPr>
          </w:p>
        </w:tc>
        <w:tc>
          <w:tcPr>
            <w:tcW w:w="9289" w:type="dxa"/>
          </w:tcPr>
          <w:p w14:paraId="31CE496B" w14:textId="77777777" w:rsidR="00B96C92" w:rsidRPr="00B96C92" w:rsidRDefault="00B96C92" w:rsidP="00B96C92">
            <w:pPr>
              <w:rPr>
                <w:rFonts w:eastAsia="Aptos" w:cs="Aptos"/>
                <w:i/>
              </w:rPr>
            </w:pPr>
            <w:r w:rsidRPr="00B96C92">
              <w:rPr>
                <w:rFonts w:eastAsia="Aptos" w:cs="Aptos"/>
                <w:i/>
              </w:rPr>
              <w:lastRenderedPageBreak/>
              <w:t xml:space="preserve">Acciones solicitadas: </w:t>
            </w:r>
          </w:p>
          <w:p w14:paraId="51E348D7" w14:textId="77777777" w:rsidR="00B96C92" w:rsidRPr="00B96C92" w:rsidRDefault="00B96C92" w:rsidP="00B96C92">
            <w:pPr>
              <w:rPr>
                <w:rFonts w:eastAsia="Aptos" w:cs="Aptos"/>
                <w:i/>
              </w:rPr>
            </w:pPr>
            <w:r w:rsidRPr="00B96C92">
              <w:rPr>
                <w:rFonts w:eastAsia="Aptos" w:cs="Aptos"/>
                <w:i/>
              </w:rPr>
              <w:t>Se invita al Comité Permanente a:</w:t>
            </w:r>
          </w:p>
          <w:p w14:paraId="176E3813" w14:textId="77777777" w:rsidR="00B96C92" w:rsidRPr="00B96C92" w:rsidRDefault="00B96C92" w:rsidP="00B96C92">
            <w:pPr>
              <w:rPr>
                <w:rFonts w:eastAsia="Aptos" w:cs="Aptos"/>
                <w:i/>
              </w:rPr>
            </w:pPr>
            <w:r w:rsidRPr="00B96C92">
              <w:rPr>
                <w:rFonts w:eastAsia="Aptos" w:cs="Aptos"/>
                <w:i/>
              </w:rPr>
              <w:lastRenderedPageBreak/>
              <w:t>i. tomar nota de los progresos de la Secretaría en la provisión de un mecanismo de apoyo a las Partes Contratantes para completar los inventarios nacionales de humedales; y</w:t>
            </w:r>
          </w:p>
          <w:p w14:paraId="14F2710D" w14:textId="7A69EDD1" w:rsidR="004E211D" w:rsidRPr="00A87236" w:rsidRDefault="00B96C92" w:rsidP="00B96C92">
            <w:pPr>
              <w:rPr>
                <w:rFonts w:eastAsia="Aptos" w:cs="Aptos"/>
                <w:i/>
                <w:highlight w:val="yellow"/>
              </w:rPr>
            </w:pPr>
            <w:r w:rsidRPr="00B96C92">
              <w:rPr>
                <w:rFonts w:eastAsia="Aptos" w:cs="Aptos"/>
                <w:i/>
              </w:rPr>
              <w:t>ii. solicitar a la Secretaría que siga ampliando el mecanismo de apoyo a los inventarios nacionales de humedales, incluso mediante la movilización de recursos y asociaciones, para ofrecer más formación y apoyo técnico.</w:t>
            </w:r>
          </w:p>
        </w:tc>
        <w:tc>
          <w:tcPr>
            <w:tcW w:w="1843" w:type="dxa"/>
          </w:tcPr>
          <w:p w14:paraId="5B98D446" w14:textId="14D512BD" w:rsidR="004E211D" w:rsidRPr="00A87236" w:rsidRDefault="004E211D" w:rsidP="00962291">
            <w:pPr>
              <w:rPr>
                <w:rFonts w:eastAsia="Aptos" w:cs="Aptos"/>
              </w:rPr>
            </w:pPr>
          </w:p>
        </w:tc>
      </w:tr>
      <w:tr w:rsidR="004E211D" w:rsidRPr="00A87236" w14:paraId="0836E62E" w14:textId="77777777" w:rsidTr="00962291">
        <w:trPr>
          <w:trHeight w:val="300"/>
        </w:trPr>
        <w:tc>
          <w:tcPr>
            <w:tcW w:w="2755" w:type="dxa"/>
          </w:tcPr>
          <w:p w14:paraId="3660A125" w14:textId="77777777" w:rsidR="00A87236" w:rsidRPr="00A87236" w:rsidRDefault="00A87236" w:rsidP="00A87236">
            <w:pPr>
              <w:rPr>
                <w:rFonts w:eastAsia="Aptos" w:cs="Aptos"/>
              </w:rPr>
            </w:pPr>
            <w:r w:rsidRPr="00A87236">
              <w:rPr>
                <w:rFonts w:eastAsia="Aptos" w:cs="Aptos"/>
              </w:rPr>
              <w:t>No es un Proyecto de Resolución</w:t>
            </w:r>
          </w:p>
          <w:p w14:paraId="3412CAFB" w14:textId="77777777" w:rsidR="00A87236" w:rsidRPr="00A87236" w:rsidRDefault="00A87236" w:rsidP="00A87236">
            <w:pPr>
              <w:rPr>
                <w:rFonts w:eastAsia="Aptos" w:cs="Aptos"/>
              </w:rPr>
            </w:pPr>
          </w:p>
          <w:p w14:paraId="7AF677F1" w14:textId="77777777" w:rsidR="00A87236" w:rsidRDefault="00A87236" w:rsidP="00A87236">
            <w:pPr>
              <w:rPr>
                <w:rFonts w:eastAsia="Aptos" w:cs="Aptos"/>
              </w:rPr>
            </w:pPr>
            <w:r w:rsidRPr="00A87236">
              <w:rPr>
                <w:rFonts w:eastAsia="Aptos" w:cs="Aptos"/>
              </w:rPr>
              <w:t xml:space="preserve">Premios Ramsar a la Conservación de los Humedales en tres categorías, anunciados y que serán reconocidos en la COP15.  </w:t>
            </w:r>
          </w:p>
          <w:p w14:paraId="3D37531C" w14:textId="77777777" w:rsidR="00A87236" w:rsidRDefault="00A87236" w:rsidP="00A87236"/>
          <w:p w14:paraId="49DEF9D9" w14:textId="0A4CBE90" w:rsidR="004E211D" w:rsidRPr="00A87236" w:rsidRDefault="00A87236" w:rsidP="00A87236">
            <w:pPr>
              <w:rPr>
                <w:rFonts w:eastAsia="Aptos" w:cs="Aptos"/>
                <w:highlight w:val="yellow"/>
              </w:rPr>
            </w:pPr>
            <w:r>
              <w:t xml:space="preserve"> </w:t>
            </w:r>
            <w:hyperlink r:id="rId25" w:history="1">
              <w:r>
                <w:rPr>
                  <w:rStyle w:val="Hyperlink"/>
                </w:rPr>
                <w:t>De las iniciativas comunitarias al impacto mundial: se dan a conocer los nombres de los galardonados con los Premios Ramsar a la Conservación de los Humedales 2025 | The Convention on Wetlands, La Convención sobre los Humedales</w:t>
              </w:r>
            </w:hyperlink>
          </w:p>
        </w:tc>
        <w:tc>
          <w:tcPr>
            <w:tcW w:w="9289" w:type="dxa"/>
          </w:tcPr>
          <w:p w14:paraId="49221294" w14:textId="77777777" w:rsidR="00A87236" w:rsidRPr="00A87236" w:rsidRDefault="00A87236" w:rsidP="00A87236">
            <w:pPr>
              <w:rPr>
                <w:rFonts w:eastAsia="Aptos" w:cs="Aptos"/>
              </w:rPr>
            </w:pPr>
            <w:r w:rsidRPr="00A87236">
              <w:rPr>
                <w:rFonts w:eastAsia="Aptos" w:cs="Aptos"/>
              </w:rPr>
              <w:t>Laura González, Directora Ejecutiva de Marea Verde en Panamá, reconocida con el Premio Ramsar a la Innovación en la Conservación de los Humedales;</w:t>
            </w:r>
          </w:p>
          <w:p w14:paraId="3B2F84F1" w14:textId="77777777" w:rsidR="00A87236" w:rsidRPr="00A87236" w:rsidRDefault="00A87236" w:rsidP="00A87236">
            <w:pPr>
              <w:rPr>
                <w:rFonts w:eastAsia="Aptos" w:cs="Aptos"/>
              </w:rPr>
            </w:pPr>
          </w:p>
          <w:p w14:paraId="290BEED7" w14:textId="77777777" w:rsidR="00A87236" w:rsidRPr="00A87236" w:rsidRDefault="00A87236" w:rsidP="00A87236">
            <w:pPr>
              <w:rPr>
                <w:rFonts w:eastAsia="Aptos" w:cs="Aptos"/>
              </w:rPr>
            </w:pPr>
            <w:r w:rsidRPr="00A87236">
              <w:rPr>
                <w:rFonts w:eastAsia="Aptos" w:cs="Aptos"/>
              </w:rPr>
              <w:t>Iman Ebrahimi, Directora Ejecutiva y Fundadora de Avaye Boom Bird Conservation Society, República Islámica del Irán, reconocida con el Premio Ramsar a la Conservación de los Humedales para Jóvenes Campeones de los Humedales;</w:t>
            </w:r>
          </w:p>
          <w:p w14:paraId="49D6670D" w14:textId="77777777" w:rsidR="00A87236" w:rsidRPr="00A87236" w:rsidRDefault="00A87236" w:rsidP="00A87236">
            <w:pPr>
              <w:rPr>
                <w:rFonts w:eastAsia="Aptos" w:cs="Aptos"/>
              </w:rPr>
            </w:pPr>
          </w:p>
          <w:p w14:paraId="19E6D123" w14:textId="413C395C" w:rsidR="004E211D" w:rsidRPr="00A87236" w:rsidRDefault="00A87236" w:rsidP="00A87236">
            <w:pPr>
              <w:rPr>
                <w:rFonts w:eastAsia="Aptos" w:cs="Aptos"/>
                <w:highlight w:val="yellow"/>
              </w:rPr>
            </w:pPr>
            <w:r w:rsidRPr="00A87236">
              <w:rPr>
                <w:rFonts w:eastAsia="Aptos" w:cs="Aptos"/>
              </w:rPr>
              <w:t>Dayana Blanco Quiroga, cofundadora del equipo Uru Uru y dirigente indígena de Bolivia, galardonada con el Premio Ramsar a la Conservación y el Uso Racional de los Humedales por los Pueblos Indígenas.</w:t>
            </w:r>
          </w:p>
        </w:tc>
        <w:tc>
          <w:tcPr>
            <w:tcW w:w="1843" w:type="dxa"/>
          </w:tcPr>
          <w:p w14:paraId="4D830DCC" w14:textId="6BB2E1CF" w:rsidR="004E211D" w:rsidRPr="00A87236" w:rsidRDefault="004E211D" w:rsidP="00962291">
            <w:pPr>
              <w:rPr>
                <w:rFonts w:eastAsia="Aptos" w:cs="Aptos"/>
              </w:rPr>
            </w:pPr>
          </w:p>
        </w:tc>
      </w:tr>
      <w:tr w:rsidR="004E211D" w:rsidRPr="00A87236" w14:paraId="0B47C070" w14:textId="77777777" w:rsidTr="00962291">
        <w:trPr>
          <w:trHeight w:val="300"/>
        </w:trPr>
        <w:tc>
          <w:tcPr>
            <w:tcW w:w="2755" w:type="dxa"/>
          </w:tcPr>
          <w:p w14:paraId="606C316A" w14:textId="77777777" w:rsidR="00A87236" w:rsidRDefault="00A87236" w:rsidP="00A87236">
            <w:r>
              <w:t xml:space="preserve">No es un proyecto de resolución. </w:t>
            </w:r>
          </w:p>
          <w:p w14:paraId="31B0A286" w14:textId="77777777" w:rsidR="00A87236" w:rsidRDefault="00A87236" w:rsidP="00A87236"/>
          <w:p w14:paraId="1A28DE9E" w14:textId="6057C18C" w:rsidR="004E211D" w:rsidRPr="00A87236" w:rsidRDefault="00A87236" w:rsidP="00A87236">
            <w:pPr>
              <w:rPr>
                <w:highlight w:val="yellow"/>
              </w:rPr>
            </w:pPr>
            <w:r>
              <w:t>Derechos de la naturaleza en los humedales</w:t>
            </w:r>
          </w:p>
          <w:p w14:paraId="2CF116E9" w14:textId="166F3947" w:rsidR="004E211D" w:rsidRPr="00A87236" w:rsidRDefault="00B96C92" w:rsidP="00A87236">
            <w:pPr>
              <w:rPr>
                <w:rFonts w:eastAsia="Aptos" w:cs="Aptos"/>
                <w:highlight w:val="yellow"/>
              </w:rPr>
            </w:pPr>
            <w:hyperlink r:id="rId26" w:history="1">
              <w:r w:rsidR="004E211D" w:rsidRPr="00A87236">
                <w:rPr>
                  <w:rStyle w:val="Hyperlink"/>
                  <w:highlight w:val="yellow"/>
                </w:rPr>
                <w:t>sc64_29_7_DR_rights_of_nature_</w:t>
              </w:r>
              <w:r w:rsidR="00A87236">
                <w:rPr>
                  <w:rStyle w:val="Hyperlink"/>
                  <w:highlight w:val="yellow"/>
                </w:rPr>
                <w:t>s</w:t>
              </w:r>
              <w:r w:rsidR="004E211D" w:rsidRPr="00A87236">
                <w:rPr>
                  <w:rStyle w:val="Hyperlink"/>
                  <w:highlight w:val="yellow"/>
                </w:rPr>
                <w:t>.pdf</w:t>
              </w:r>
            </w:hyperlink>
          </w:p>
        </w:tc>
        <w:tc>
          <w:tcPr>
            <w:tcW w:w="9289" w:type="dxa"/>
          </w:tcPr>
          <w:p w14:paraId="4122D75A" w14:textId="62D612AE" w:rsidR="004E211D" w:rsidRPr="00A87236" w:rsidRDefault="00A87236" w:rsidP="00962291">
            <w:pPr>
              <w:rPr>
                <w:rFonts w:eastAsia="Aptos" w:cs="Aptos"/>
                <w:highlight w:val="yellow"/>
              </w:rPr>
            </w:pPr>
            <w:r w:rsidRPr="00A87236">
              <w:rPr>
                <w:rFonts w:eastAsia="Aptos" w:cs="Aptos"/>
                <w:i/>
              </w:rPr>
              <w:lastRenderedPageBreak/>
              <w:t xml:space="preserve">Varias Partes Contratantes se opusieron a remitir el proyecto de resolución a la COP15, señalando que la consideración de los derechos de la naturaleza en los </w:t>
            </w:r>
            <w:r w:rsidRPr="00A87236">
              <w:rPr>
                <w:rFonts w:eastAsia="Aptos" w:cs="Aptos"/>
                <w:i/>
              </w:rPr>
              <w:lastRenderedPageBreak/>
              <w:t>humedales está fuera del ámbito de la Convención y expresando su preocupación por la incompatibilidad del proyecto con el derecho internacional, incluidos los posibles conflictos con el Principio 2 de la Declaración de Río sobre el derecho soberano de los Estados a explotar sus propios recursos de conformidad con sus propias políticas ambientales y de desarrollo, y con los derechos de las poblaciones locales que dependen de los ecosistemas de humedales para su subsistencia.</w:t>
            </w:r>
          </w:p>
        </w:tc>
        <w:tc>
          <w:tcPr>
            <w:tcW w:w="1843" w:type="dxa"/>
          </w:tcPr>
          <w:p w14:paraId="2153148A" w14:textId="3BF251A5" w:rsidR="004E211D" w:rsidRPr="00A87236" w:rsidRDefault="004E211D" w:rsidP="00962291">
            <w:pPr>
              <w:rPr>
                <w:rFonts w:eastAsia="Aptos" w:cs="Aptos"/>
              </w:rPr>
            </w:pPr>
          </w:p>
        </w:tc>
      </w:tr>
    </w:tbl>
    <w:p w14:paraId="77F95C59" w14:textId="79A1F392" w:rsidR="29E1ECA4" w:rsidRPr="00A87236" w:rsidRDefault="29E1ECA4" w:rsidP="29E1ECA4">
      <w:pPr>
        <w:rPr>
          <w:rFonts w:eastAsia="Aptos" w:cs="Aptos"/>
        </w:rPr>
      </w:pPr>
    </w:p>
    <w:p w14:paraId="3C65BAE9" w14:textId="5B3AFD71" w:rsidR="00FF3ADE" w:rsidRPr="00A87236" w:rsidRDefault="00A87236" w:rsidP="000912BE">
      <w:pPr>
        <w:tabs>
          <w:tab w:val="left" w:pos="2282"/>
        </w:tabs>
      </w:pPr>
      <w:r w:rsidRPr="00A87236">
        <w:rPr>
          <w:rFonts w:eastAsia="Aptos" w:cs="Aptos"/>
        </w:rPr>
        <w:t xml:space="preserve">Manual oficial sobre participación </w:t>
      </w:r>
      <w:hyperlink r:id="rId27" w:history="1">
        <w:r>
          <w:rPr>
            <w:rStyle w:val="Hyperlink"/>
          </w:rPr>
          <w:t>COP15 Participant Guide_S</w:t>
        </w:r>
        <w:r w:rsidR="000912BE" w:rsidRPr="00A87236">
          <w:rPr>
            <w:rStyle w:val="Hyperlink"/>
          </w:rPr>
          <w:t xml:space="preserve"> (21</w:t>
        </w:r>
        <w:r w:rsidR="000912BE" w:rsidRPr="00A87236">
          <w:rPr>
            <w:rStyle w:val="Hyperlink"/>
          </w:rPr>
          <w:t xml:space="preserve"> </w:t>
        </w:r>
        <w:r w:rsidR="000912BE" w:rsidRPr="00A87236">
          <w:rPr>
            <w:rStyle w:val="Hyperlink"/>
          </w:rPr>
          <w:t>x 29.7 cm)</w:t>
        </w:r>
      </w:hyperlink>
      <w:r w:rsidR="000912BE" w:rsidRPr="00A87236">
        <w:t xml:space="preserve"> </w:t>
      </w:r>
    </w:p>
    <w:p w14:paraId="63592622" w14:textId="0E34E2E6" w:rsidR="000912BE" w:rsidRPr="00A87236" w:rsidRDefault="00A87236" w:rsidP="000912BE">
      <w:pPr>
        <w:tabs>
          <w:tab w:val="left" w:pos="2282"/>
        </w:tabs>
      </w:pPr>
      <w:r w:rsidRPr="00A87236">
        <w:t>Página de la Secretaría</w:t>
      </w:r>
      <w:r>
        <w:t xml:space="preserve"> </w:t>
      </w:r>
      <w:hyperlink r:id="rId28" w:history="1">
        <w:r w:rsidR="000912BE" w:rsidRPr="00A87236">
          <w:rPr>
            <w:rStyle w:val="Hyperlink"/>
          </w:rPr>
          <w:t>15th meeting of the Conference of the Contracting Parties | The Convention on Wetlands, The Convention on Wetlands</w:t>
        </w:r>
      </w:hyperlink>
      <w:r w:rsidR="000912BE" w:rsidRPr="00A87236">
        <w:t xml:space="preserve"> </w:t>
      </w:r>
    </w:p>
    <w:p w14:paraId="4DD89566" w14:textId="4E71FED1" w:rsidR="000912BE" w:rsidRPr="00A87236" w:rsidRDefault="00A87236" w:rsidP="000912BE">
      <w:pPr>
        <w:tabs>
          <w:tab w:val="left" w:pos="2282"/>
        </w:tabs>
      </w:pPr>
      <w:r w:rsidRPr="00A87236">
        <w:t xml:space="preserve">Nota diplomática de la Secretaría sobre la COP15 </w:t>
      </w:r>
      <w:hyperlink r:id="rId29" w:history="1">
        <w:r w:rsidR="000912BE" w:rsidRPr="00A87236">
          <w:rPr>
            <w:rStyle w:val="Hyperlink"/>
          </w:rPr>
          <w:t>Notification | Convention on Wetlands Contacts Database</w:t>
        </w:r>
      </w:hyperlink>
      <w:r w:rsidR="000912BE" w:rsidRPr="00A87236">
        <w:t xml:space="preserve"> </w:t>
      </w:r>
    </w:p>
    <w:p w14:paraId="6BB3ADD9" w14:textId="56A3F419" w:rsidR="000912BE" w:rsidRPr="00A87236" w:rsidRDefault="00A87236" w:rsidP="000912BE">
      <w:pPr>
        <w:tabs>
          <w:tab w:val="left" w:pos="2282"/>
        </w:tabs>
        <w:rPr>
          <w:rFonts w:eastAsia="Aptos" w:cs="Aptos"/>
        </w:rPr>
      </w:pPr>
      <w:r w:rsidRPr="00A87236">
        <w:t xml:space="preserve">Informes oficiales sobre el Comité Permanente </w:t>
      </w:r>
      <w:hyperlink r:id="rId30" w:history="1">
        <w:r w:rsidR="000912BE" w:rsidRPr="00A87236">
          <w:rPr>
            <w:rStyle w:val="Hyperlink"/>
          </w:rPr>
          <w:t>64th meeting of the Standing Committee | The Convention on Wetlands, The Convention on Wetlands</w:t>
        </w:r>
      </w:hyperlink>
      <w:r w:rsidR="000912BE" w:rsidRPr="00A87236">
        <w:t xml:space="preserve"> </w:t>
      </w:r>
    </w:p>
    <w:sectPr w:rsidR="000912BE" w:rsidRPr="00A87236" w:rsidSect="00C0073B">
      <w:footerReference w:type="default" r:id="rId3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01CB0" w14:textId="77777777" w:rsidR="00D15DBC" w:rsidRDefault="00D15DBC" w:rsidP="00D15DBC">
      <w:pPr>
        <w:spacing w:after="0" w:line="240" w:lineRule="auto"/>
      </w:pPr>
      <w:r>
        <w:separator/>
      </w:r>
    </w:p>
  </w:endnote>
  <w:endnote w:type="continuationSeparator" w:id="0">
    <w:p w14:paraId="0B05BD65" w14:textId="77777777" w:rsidR="00D15DBC" w:rsidRDefault="00D15DBC" w:rsidP="00D15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B0F38" w14:textId="217F90C4" w:rsidR="00D15DBC" w:rsidRDefault="00096BE6">
    <w:pPr>
      <w:pStyle w:val="Footer"/>
      <w:rPr>
        <w:lang w:eastAsia="zh-CN"/>
      </w:rPr>
    </w:pPr>
    <w:r>
      <w:rPr>
        <w:noProof/>
        <w:lang w:eastAsia="zh-CN"/>
      </w:rPr>
      <w:drawing>
        <wp:anchor distT="0" distB="0" distL="114300" distR="114300" simplePos="0" relativeHeight="251657728" behindDoc="1" locked="0" layoutInCell="1" allowOverlap="1" wp14:anchorId="6743FA76" wp14:editId="26E104BD">
          <wp:simplePos x="0" y="0"/>
          <wp:positionH relativeFrom="column">
            <wp:posOffset>7747000</wp:posOffset>
          </wp:positionH>
          <wp:positionV relativeFrom="paragraph">
            <wp:posOffset>-294640</wp:posOffset>
          </wp:positionV>
          <wp:extent cx="777875" cy="920750"/>
          <wp:effectExtent l="0" t="0" r="3175" b="0"/>
          <wp:wrapNone/>
          <wp:docPr id="1" name="Picture 1" descr="WWN Logo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N Logo c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75" cy="920750"/>
                  </a:xfrm>
                  <a:prstGeom prst="rect">
                    <a:avLst/>
                  </a:prstGeom>
                  <a:noFill/>
                </pic:spPr>
              </pic:pic>
            </a:graphicData>
          </a:graphic>
          <wp14:sizeRelH relativeFrom="page">
            <wp14:pctWidth>0</wp14:pctWidth>
          </wp14:sizeRelH>
          <wp14:sizeRelV relativeFrom="page">
            <wp14:pctHeight>0</wp14:pctHeight>
          </wp14:sizeRelV>
        </wp:anchor>
      </w:drawing>
    </w:r>
    <w:r w:rsidR="00D15DBC" w:rsidRPr="00D15DBC">
      <w:t>worldwetland.network/cop15/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22925" w14:textId="77777777" w:rsidR="00D15DBC" w:rsidRDefault="00D15DBC" w:rsidP="00D15DBC">
      <w:pPr>
        <w:spacing w:after="0" w:line="240" w:lineRule="auto"/>
      </w:pPr>
      <w:r>
        <w:separator/>
      </w:r>
    </w:p>
  </w:footnote>
  <w:footnote w:type="continuationSeparator" w:id="0">
    <w:p w14:paraId="5B9409A4" w14:textId="77777777" w:rsidR="00D15DBC" w:rsidRDefault="00D15DBC" w:rsidP="00D15D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39DF57"/>
    <w:rsid w:val="0007768A"/>
    <w:rsid w:val="000912BE"/>
    <w:rsid w:val="00096BE6"/>
    <w:rsid w:val="000B3199"/>
    <w:rsid w:val="000F027B"/>
    <w:rsid w:val="000F3BF2"/>
    <w:rsid w:val="00102DF1"/>
    <w:rsid w:val="00122E5B"/>
    <w:rsid w:val="0014768F"/>
    <w:rsid w:val="001514F0"/>
    <w:rsid w:val="00151CFD"/>
    <w:rsid w:val="00152121"/>
    <w:rsid w:val="00153209"/>
    <w:rsid w:val="001623B6"/>
    <w:rsid w:val="001D0647"/>
    <w:rsid w:val="001E5AE6"/>
    <w:rsid w:val="001F5BAF"/>
    <w:rsid w:val="00270E16"/>
    <w:rsid w:val="002726D6"/>
    <w:rsid w:val="002832A5"/>
    <w:rsid w:val="002E3036"/>
    <w:rsid w:val="003478A2"/>
    <w:rsid w:val="003C70A3"/>
    <w:rsid w:val="00416825"/>
    <w:rsid w:val="0046047F"/>
    <w:rsid w:val="00481E28"/>
    <w:rsid w:val="00481EDD"/>
    <w:rsid w:val="004E211D"/>
    <w:rsid w:val="004F56D3"/>
    <w:rsid w:val="005063A4"/>
    <w:rsid w:val="00536D20"/>
    <w:rsid w:val="00554BE8"/>
    <w:rsid w:val="005A75BE"/>
    <w:rsid w:val="005C453D"/>
    <w:rsid w:val="005D5916"/>
    <w:rsid w:val="005D622B"/>
    <w:rsid w:val="005F5836"/>
    <w:rsid w:val="005F7006"/>
    <w:rsid w:val="00682520"/>
    <w:rsid w:val="006857F8"/>
    <w:rsid w:val="00694F2B"/>
    <w:rsid w:val="007018A6"/>
    <w:rsid w:val="007132F6"/>
    <w:rsid w:val="00744CE1"/>
    <w:rsid w:val="007B3E66"/>
    <w:rsid w:val="007C4A6E"/>
    <w:rsid w:val="007D7396"/>
    <w:rsid w:val="007D7F97"/>
    <w:rsid w:val="00886664"/>
    <w:rsid w:val="008E3D87"/>
    <w:rsid w:val="008F1694"/>
    <w:rsid w:val="00962291"/>
    <w:rsid w:val="009F53EF"/>
    <w:rsid w:val="00A41B52"/>
    <w:rsid w:val="00A605AA"/>
    <w:rsid w:val="00A82B0F"/>
    <w:rsid w:val="00A87236"/>
    <w:rsid w:val="00A95000"/>
    <w:rsid w:val="00AA1A7D"/>
    <w:rsid w:val="00B22735"/>
    <w:rsid w:val="00B96C92"/>
    <w:rsid w:val="00BB0680"/>
    <w:rsid w:val="00C0073B"/>
    <w:rsid w:val="00C04436"/>
    <w:rsid w:val="00C76C70"/>
    <w:rsid w:val="00CA03B3"/>
    <w:rsid w:val="00CB5052"/>
    <w:rsid w:val="00CD36C6"/>
    <w:rsid w:val="00CE517D"/>
    <w:rsid w:val="00D13CFC"/>
    <w:rsid w:val="00D15DBC"/>
    <w:rsid w:val="00D43579"/>
    <w:rsid w:val="00D50D0E"/>
    <w:rsid w:val="00D85817"/>
    <w:rsid w:val="00E55C17"/>
    <w:rsid w:val="00E85C19"/>
    <w:rsid w:val="00EB3F0B"/>
    <w:rsid w:val="00EC7E18"/>
    <w:rsid w:val="00ED048C"/>
    <w:rsid w:val="00F304EB"/>
    <w:rsid w:val="00F41C3A"/>
    <w:rsid w:val="00F51D79"/>
    <w:rsid w:val="00F7214F"/>
    <w:rsid w:val="00F80983"/>
    <w:rsid w:val="00F82B16"/>
    <w:rsid w:val="00FD418B"/>
    <w:rsid w:val="00FE14EA"/>
    <w:rsid w:val="00FF3ADE"/>
    <w:rsid w:val="00FF4442"/>
    <w:rsid w:val="00FF5E5A"/>
    <w:rsid w:val="02234808"/>
    <w:rsid w:val="02D09992"/>
    <w:rsid w:val="044BC81C"/>
    <w:rsid w:val="05A42E3F"/>
    <w:rsid w:val="06753A4A"/>
    <w:rsid w:val="0676671F"/>
    <w:rsid w:val="073AA2A4"/>
    <w:rsid w:val="07999CAD"/>
    <w:rsid w:val="085788BD"/>
    <w:rsid w:val="0BDC5EB5"/>
    <w:rsid w:val="0E24214A"/>
    <w:rsid w:val="0F39DF57"/>
    <w:rsid w:val="0F4A251F"/>
    <w:rsid w:val="1105510D"/>
    <w:rsid w:val="12A6253B"/>
    <w:rsid w:val="1328100F"/>
    <w:rsid w:val="133945C2"/>
    <w:rsid w:val="15155D57"/>
    <w:rsid w:val="17638043"/>
    <w:rsid w:val="17D2C1D7"/>
    <w:rsid w:val="184FABD6"/>
    <w:rsid w:val="18B16B0B"/>
    <w:rsid w:val="18B7C3AB"/>
    <w:rsid w:val="190D1679"/>
    <w:rsid w:val="191E45A4"/>
    <w:rsid w:val="1968A642"/>
    <w:rsid w:val="19D6EBD0"/>
    <w:rsid w:val="19E44C25"/>
    <w:rsid w:val="1ADB56CB"/>
    <w:rsid w:val="1B6031A0"/>
    <w:rsid w:val="1CB7D666"/>
    <w:rsid w:val="1CCD9251"/>
    <w:rsid w:val="1D104126"/>
    <w:rsid w:val="1DEA0CA4"/>
    <w:rsid w:val="1E79C859"/>
    <w:rsid w:val="1ECC8F2E"/>
    <w:rsid w:val="1EDCE2BC"/>
    <w:rsid w:val="1F5E068A"/>
    <w:rsid w:val="1FC64C8C"/>
    <w:rsid w:val="1FCD440E"/>
    <w:rsid w:val="2014AB64"/>
    <w:rsid w:val="21599DDA"/>
    <w:rsid w:val="216D8363"/>
    <w:rsid w:val="21DE1827"/>
    <w:rsid w:val="222487DC"/>
    <w:rsid w:val="23CD50C2"/>
    <w:rsid w:val="24B7B671"/>
    <w:rsid w:val="25DCB557"/>
    <w:rsid w:val="2609E733"/>
    <w:rsid w:val="27F1E12E"/>
    <w:rsid w:val="288AA3C7"/>
    <w:rsid w:val="2995F6C3"/>
    <w:rsid w:val="29B8BA0E"/>
    <w:rsid w:val="29C8E012"/>
    <w:rsid w:val="29E1ECA4"/>
    <w:rsid w:val="2A0257DB"/>
    <w:rsid w:val="2A9838D5"/>
    <w:rsid w:val="2B04D5F9"/>
    <w:rsid w:val="2B9645A2"/>
    <w:rsid w:val="2D6ED750"/>
    <w:rsid w:val="2D9E6D47"/>
    <w:rsid w:val="2DC890B3"/>
    <w:rsid w:val="2E156D3A"/>
    <w:rsid w:val="2E5A45F6"/>
    <w:rsid w:val="2F2105A9"/>
    <w:rsid w:val="30788AB5"/>
    <w:rsid w:val="3290D1F5"/>
    <w:rsid w:val="33511E55"/>
    <w:rsid w:val="33583C9D"/>
    <w:rsid w:val="33AC5DC9"/>
    <w:rsid w:val="35153D9D"/>
    <w:rsid w:val="355E9617"/>
    <w:rsid w:val="3581A1E8"/>
    <w:rsid w:val="35CF49C9"/>
    <w:rsid w:val="368B87DD"/>
    <w:rsid w:val="378ED9BC"/>
    <w:rsid w:val="37E84C7D"/>
    <w:rsid w:val="38B529C2"/>
    <w:rsid w:val="3A25A7C6"/>
    <w:rsid w:val="3A5E0966"/>
    <w:rsid w:val="3B02240F"/>
    <w:rsid w:val="3B98F8B8"/>
    <w:rsid w:val="3CAA05BB"/>
    <w:rsid w:val="3CCA8BF4"/>
    <w:rsid w:val="3CCD070B"/>
    <w:rsid w:val="3DBBF3AE"/>
    <w:rsid w:val="3E6935D5"/>
    <w:rsid w:val="3F396AA0"/>
    <w:rsid w:val="41838969"/>
    <w:rsid w:val="419FFC4A"/>
    <w:rsid w:val="4201E890"/>
    <w:rsid w:val="425B6FCA"/>
    <w:rsid w:val="42810CDE"/>
    <w:rsid w:val="42B39B95"/>
    <w:rsid w:val="43A4CB43"/>
    <w:rsid w:val="46C20FC5"/>
    <w:rsid w:val="46D195DB"/>
    <w:rsid w:val="46E602EA"/>
    <w:rsid w:val="478FB207"/>
    <w:rsid w:val="4874009F"/>
    <w:rsid w:val="4C668B09"/>
    <w:rsid w:val="4D992DEB"/>
    <w:rsid w:val="4DC4CF7C"/>
    <w:rsid w:val="4E81497D"/>
    <w:rsid w:val="5018C2E1"/>
    <w:rsid w:val="550B4269"/>
    <w:rsid w:val="55B3C83D"/>
    <w:rsid w:val="55F839D5"/>
    <w:rsid w:val="562A8E29"/>
    <w:rsid w:val="565168D8"/>
    <w:rsid w:val="56541C9A"/>
    <w:rsid w:val="56C1DB78"/>
    <w:rsid w:val="56D8AF2D"/>
    <w:rsid w:val="57377619"/>
    <w:rsid w:val="574864CB"/>
    <w:rsid w:val="58CA8F71"/>
    <w:rsid w:val="599AA18F"/>
    <w:rsid w:val="5BA46FA3"/>
    <w:rsid w:val="5C6D2DC3"/>
    <w:rsid w:val="5D2C1B61"/>
    <w:rsid w:val="5D3DBAF7"/>
    <w:rsid w:val="5DBA6BAD"/>
    <w:rsid w:val="5E6CCEFC"/>
    <w:rsid w:val="5F79F8D0"/>
    <w:rsid w:val="605D34F6"/>
    <w:rsid w:val="60799BAA"/>
    <w:rsid w:val="60DC288A"/>
    <w:rsid w:val="60EE62FB"/>
    <w:rsid w:val="62429FDC"/>
    <w:rsid w:val="6296C309"/>
    <w:rsid w:val="631ABA41"/>
    <w:rsid w:val="6339ED12"/>
    <w:rsid w:val="6409882F"/>
    <w:rsid w:val="667BCA2C"/>
    <w:rsid w:val="66FB674D"/>
    <w:rsid w:val="67AF8C25"/>
    <w:rsid w:val="695AA0D4"/>
    <w:rsid w:val="696376A9"/>
    <w:rsid w:val="699B5A2B"/>
    <w:rsid w:val="69DCDCA5"/>
    <w:rsid w:val="6B2DE093"/>
    <w:rsid w:val="6B5163CF"/>
    <w:rsid w:val="6B5712CE"/>
    <w:rsid w:val="6CCCC63B"/>
    <w:rsid w:val="6CD25D26"/>
    <w:rsid w:val="6DCD6930"/>
    <w:rsid w:val="6F1AB3A9"/>
    <w:rsid w:val="6F33FE47"/>
    <w:rsid w:val="700C7B9B"/>
    <w:rsid w:val="706790AB"/>
    <w:rsid w:val="70BDF72C"/>
    <w:rsid w:val="71491F7B"/>
    <w:rsid w:val="714F628A"/>
    <w:rsid w:val="7167786D"/>
    <w:rsid w:val="71E68CB9"/>
    <w:rsid w:val="72451F23"/>
    <w:rsid w:val="731986E4"/>
    <w:rsid w:val="741C494F"/>
    <w:rsid w:val="749C569F"/>
    <w:rsid w:val="74EAF64F"/>
    <w:rsid w:val="75288B13"/>
    <w:rsid w:val="75ECABCE"/>
    <w:rsid w:val="760437F2"/>
    <w:rsid w:val="762F294A"/>
    <w:rsid w:val="76865DA5"/>
    <w:rsid w:val="776615FA"/>
    <w:rsid w:val="78047226"/>
    <w:rsid w:val="786EAD9C"/>
    <w:rsid w:val="7A068278"/>
    <w:rsid w:val="7A14656E"/>
    <w:rsid w:val="7A2492A5"/>
    <w:rsid w:val="7BAAB452"/>
    <w:rsid w:val="7C78F223"/>
    <w:rsid w:val="7D0AE338"/>
    <w:rsid w:val="7D7F2469"/>
    <w:rsid w:val="7DDC89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27320F"/>
  <w15:chartTrackingRefBased/>
  <w15:docId w15:val="{CEB8A0EA-6DFE-40DC-AF1B-DFD6AFF8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29E1ECA4"/>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153209"/>
    <w:rPr>
      <w:color w:val="96607D" w:themeColor="followedHyperlink"/>
      <w:u w:val="single"/>
    </w:rPr>
  </w:style>
  <w:style w:type="paragraph" w:styleId="Header">
    <w:name w:val="header"/>
    <w:basedOn w:val="Normal"/>
    <w:link w:val="HeaderChar"/>
    <w:uiPriority w:val="99"/>
    <w:unhideWhenUsed/>
    <w:rsid w:val="00D15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DBC"/>
  </w:style>
  <w:style w:type="paragraph" w:styleId="Footer">
    <w:name w:val="footer"/>
    <w:basedOn w:val="Normal"/>
    <w:link w:val="FooterChar"/>
    <w:uiPriority w:val="99"/>
    <w:unhideWhenUsed/>
    <w:rsid w:val="00D15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471054">
      <w:bodyDiv w:val="1"/>
      <w:marLeft w:val="0"/>
      <w:marRight w:val="0"/>
      <w:marTop w:val="0"/>
      <w:marBottom w:val="0"/>
      <w:divBdr>
        <w:top w:val="none" w:sz="0" w:space="0" w:color="auto"/>
        <w:left w:val="none" w:sz="0" w:space="0" w:color="auto"/>
        <w:bottom w:val="none" w:sz="0" w:space="0" w:color="auto"/>
        <w:right w:val="none" w:sz="0" w:space="0" w:color="auto"/>
      </w:divBdr>
    </w:div>
    <w:div w:id="927810904">
      <w:bodyDiv w:val="1"/>
      <w:marLeft w:val="0"/>
      <w:marRight w:val="0"/>
      <w:marTop w:val="0"/>
      <w:marBottom w:val="0"/>
      <w:divBdr>
        <w:top w:val="none" w:sz="0" w:space="0" w:color="auto"/>
        <w:left w:val="none" w:sz="0" w:space="0" w:color="auto"/>
        <w:bottom w:val="none" w:sz="0" w:space="0" w:color="auto"/>
        <w:right w:val="none" w:sz="0" w:space="0" w:color="auto"/>
      </w:divBdr>
    </w:div>
    <w:div w:id="1095059372">
      <w:bodyDiv w:val="1"/>
      <w:marLeft w:val="0"/>
      <w:marRight w:val="0"/>
      <w:marTop w:val="0"/>
      <w:marBottom w:val="0"/>
      <w:divBdr>
        <w:top w:val="none" w:sz="0" w:space="0" w:color="auto"/>
        <w:left w:val="none" w:sz="0" w:space="0" w:color="auto"/>
        <w:bottom w:val="none" w:sz="0" w:space="0" w:color="auto"/>
        <w:right w:val="none" w:sz="0" w:space="0" w:color="auto"/>
      </w:divBdr>
    </w:div>
    <w:div w:id="1128158492">
      <w:bodyDiv w:val="1"/>
      <w:marLeft w:val="0"/>
      <w:marRight w:val="0"/>
      <w:marTop w:val="0"/>
      <w:marBottom w:val="0"/>
      <w:divBdr>
        <w:top w:val="none" w:sz="0" w:space="0" w:color="auto"/>
        <w:left w:val="none" w:sz="0" w:space="0" w:color="auto"/>
        <w:bottom w:val="none" w:sz="0" w:space="0" w:color="auto"/>
        <w:right w:val="none" w:sz="0" w:space="0" w:color="auto"/>
      </w:divBdr>
    </w:div>
    <w:div w:id="191446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ew.officeapps.live.com/op/view.aspx?src=https%3A%2F%2Fwww.ramsar.org%2Fsites%2Fdefault%2Ffiles%2F2025-04%2FCOP15_23_14_DR_culture_and_wetlands_s.docx&amp;wdOrigin=BROWSELINK" TargetMode="External"/><Relationship Id="rId18" Type="http://schemas.openxmlformats.org/officeDocument/2006/relationships/hyperlink" Target="https://view.officeapps.live.com/op/view.aspx?src=https%3A%2F%2Fwww.ramsar.org%2Fsites%2Fdefault%2Ffiles%2F2025-04%2FCOP15_23_13_DR_updates_RIS_s.docx&amp;wdOrigin=BROWSELINK" TargetMode="External"/><Relationship Id="rId26" Type="http://schemas.openxmlformats.org/officeDocument/2006/relationships/hyperlink" Target="https://www.ramsar.org/sites/default/files/2024-12/sc64_29_7_DR_rights_of_nature_s.pdf"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www.ramsar.org%2Fsites%2Fdefault%2Ffiles%2F2025-04%2FCOP15_23_12_DR_application_criteria_6_9_s.docx&amp;wdOrigin=BROWSELINK" TargetMode="External"/><Relationship Id="rId7" Type="http://schemas.openxmlformats.org/officeDocument/2006/relationships/footnotes" Target="footnotes.xml"/><Relationship Id="rId12" Type="http://schemas.openxmlformats.org/officeDocument/2006/relationships/hyperlink" Target="https://view.officeapps.live.com/op/view.aspx?src=https%3A%2F%2Fwww.ramsar.org%2Fsites%2Fdefault%2Ffiles%2F2025-04%2FCOP15_23_19_DR_youth_s.docx&amp;wdOrigin=BROWSELINK" TargetMode="External"/><Relationship Id="rId17" Type="http://schemas.openxmlformats.org/officeDocument/2006/relationships/hyperlink" Target="https://www.ramsar.org/sites/default/files/2024-10/SC64_28_implementation_ResXIV20_e.pdf" TargetMode="External"/><Relationship Id="rId25" Type="http://schemas.openxmlformats.org/officeDocument/2006/relationships/hyperlink" Target="https://www.ramsar.org/es/news/de-las-iniciativas-comunitarias-al-impacto-mundial-se-dan-conocer-los-nombres-de-lo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amsar.org/sites/default/files/2025-04/COP15_23_4_DR_synergies_e.docx" TargetMode="External"/><Relationship Id="rId20" Type="http://schemas.openxmlformats.org/officeDocument/2006/relationships/hyperlink" Target="https://www.ramsar.org/document/fourth-ramsar-strategic-plan-2016-2024" TargetMode="External"/><Relationship Id="rId29" Type="http://schemas.openxmlformats.org/officeDocument/2006/relationships/hyperlink" Target="https://contacts.ramsar.org/notification/view/28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amsar.org/sites/default/files/2025-04/COP15_23_18_DR_%20oecms_s.docx" TargetMode="External"/><Relationship Id="rId24" Type="http://schemas.openxmlformats.org/officeDocument/2006/relationships/hyperlink" Target="https://www.ramsar.org/sites/default/files/2024-10/sc64_10_National_wetland_inventories_s.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view.officeapps.live.com/op/view.aspx?src=https%3A%2F%2Fwww.ramsar.org%2Fsites%2Fdefault%2Ffiles%2F2025-04%2FCOP15_10_CEPA_OP_Chair_report_s.docx&amp;wdOrigin=BROWSELINK" TargetMode="External"/><Relationship Id="rId23" Type="http://schemas.openxmlformats.org/officeDocument/2006/relationships/hyperlink" Target="https://view.officeapps.live.com/op/view.aspx?src=https%3A%2F%2Fwww.ramsar.org%2Fsites%2Fdefault%2Ffiles%2F2025-04%2FCOP15_23_11_DR_waterbird_estimates_partnership_s.docx&amp;wdOrigin=BROWSELINK" TargetMode="External"/><Relationship Id="rId28" Type="http://schemas.openxmlformats.org/officeDocument/2006/relationships/hyperlink" Target="https://www.ramsar.org/meeting/15th-meeting-conference-contracting-parties" TargetMode="External"/><Relationship Id="rId10" Type="http://schemas.openxmlformats.org/officeDocument/2006/relationships/hyperlink" Target="https://www.ramsar.org/sites/default/files/2025-04/COP15_23_17_DR_new_technology_s.pdf" TargetMode="External"/><Relationship Id="rId19" Type="http://schemas.openxmlformats.org/officeDocument/2006/relationships/hyperlink" Target="https://www.ramsar.org/sites/default/files/2024-11/SC64_11_SPWG_report_e.pdf"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view.officeapps.live.com/op/view.aspx?src=https%3A%2F%2Fwww.ramsar.org%2Fsites%2Fdefault%2Ffiles%2F2025-04%2FCOP15_23_15_DR_freshwater_ecosystem_restoration_s.docx&amp;wdOrigin=BROWSELINK" TargetMode="External"/><Relationship Id="rId14" Type="http://schemas.openxmlformats.org/officeDocument/2006/relationships/hyperlink" Target="https://www.ramsar.org/sites/default/files/2025-04/COP15_23_6_DR_cepa_s.docx" TargetMode="External"/><Relationship Id="rId22" Type="http://schemas.openxmlformats.org/officeDocument/2006/relationships/hyperlink" Target="https://view.officeapps.live.com/op/view.aspx?src=https%3A%2F%2Fwww.ramsar.org%2Fsites%2Fdefault%2Ffiles%2F2025-04%2FCOP15_23_7_DR_Status%2520of%2520Sites_s.docx&amp;wdOrigin=BROWSELINK" TargetMode="External"/><Relationship Id="rId27" Type="http://schemas.openxmlformats.org/officeDocument/2006/relationships/hyperlink" Target="https://www.ramsar.org/sites/default/files/2025-02/COP15_participant_guide_s.pdf" TargetMode="External"/><Relationship Id="rId30" Type="http://schemas.openxmlformats.org/officeDocument/2006/relationships/hyperlink" Target="https://www.ramsar.org/meeting/64th-meeting-standing-committe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6F5AFDF19E44DBE5ABEAC88EBB6A9" ma:contentTypeVersion="12" ma:contentTypeDescription="Create a new document." ma:contentTypeScope="" ma:versionID="758ee30c5f7acf4da3ce9b7ea7e5094b">
  <xsd:schema xmlns:xsd="http://www.w3.org/2001/XMLSchema" xmlns:xs="http://www.w3.org/2001/XMLSchema" xmlns:p="http://schemas.microsoft.com/office/2006/metadata/properties" xmlns:ns2="f4ce347a-7882-4c46-a1eb-c496782b564d" targetNamespace="http://schemas.microsoft.com/office/2006/metadata/properties" ma:root="true" ma:fieldsID="2ca5ad5020bff7d7fe1cb7e3dbb30331" ns2:_="">
    <xsd:import namespace="f4ce347a-7882-4c46-a1eb-c496782b56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e347a-7882-4c46-a1eb-c496782b5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0c5770-8c4a-4d62-a16b-f117c3d0a1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ce347a-7882-4c46-a1eb-c496782b56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BD4C9-32EF-48F7-AEAC-23AAB0B2B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e347a-7882-4c46-a1eb-c496782b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A2B3C-3D22-43B8-9649-8934EBD96B00}">
  <ds:schemaRefs>
    <ds:schemaRef ds:uri="http://purl.org/dc/terms/"/>
    <ds:schemaRef ds:uri="http://schemas.openxmlformats.org/package/2006/metadata/core-properties"/>
    <ds:schemaRef ds:uri="http://schemas.microsoft.com/office/2006/documentManagement/types"/>
    <ds:schemaRef ds:uri="f4ce347a-7882-4c46-a1eb-c496782b564d"/>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85AD579-6FE7-4CE7-84AF-968F694A9E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12</Pages>
  <Words>3763</Words>
  <Characters>21454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Walsh</dc:creator>
  <cp:keywords/>
  <dc:description/>
  <cp:lastModifiedBy>Connor Walsh</cp:lastModifiedBy>
  <cp:revision>13</cp:revision>
  <cp:lastPrinted>2025-04-04T10:50:00Z</cp:lastPrinted>
  <dcterms:created xsi:type="dcterms:W3CDTF">2025-04-17T11:38:00Z</dcterms:created>
  <dcterms:modified xsi:type="dcterms:W3CDTF">2025-04-25T15:26:00Z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0x010100B7D6F5AFDF19E44DBE5ABEAC88EBB6A9</vt:lpwstr>
  </property>
  <property fmtid="{D5CDD505-2E9C-101B-9397-08002B2CF9AE}" pid="3" name="MediaServiceImageTags">
    <vt:lpwstr/>
  </property>
</Properties>
</file>